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6FCF" w14:textId="2F31E614" w:rsidR="00433B90" w:rsidRPr="008273E7" w:rsidRDefault="00795CC4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547138C" w14:textId="1881B491" w:rsidR="00795CC4" w:rsidRPr="008273E7" w:rsidRDefault="00795CC4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259 Venit Christus </w:t>
      </w:r>
    </w:p>
    <w:p w14:paraId="3A9B60CD" w14:textId="77777777" w:rsidR="000A039F" w:rsidRDefault="00795CC4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Venit Christus sicut </w:t>
      </w:r>
      <w:r w:rsidR="0049383B">
        <w:rPr>
          <w:rFonts w:ascii="Times New Roman" w:hAnsi="Times New Roman" w:cs="Times New Roman"/>
          <w:sz w:val="24"/>
          <w:szCs w:val="24"/>
        </w:rPr>
        <w:t>d</w:t>
      </w:r>
      <w:r w:rsidRPr="008273E7">
        <w:rPr>
          <w:rFonts w:ascii="Times New Roman" w:hAnsi="Times New Roman" w:cs="Times New Roman"/>
          <w:sz w:val="24"/>
          <w:szCs w:val="24"/>
        </w:rPr>
        <w:t xml:space="preserve">ominus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seruos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sicut magister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discipulos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egrotos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CFBF4" w14:textId="77777777" w:rsidR="000A039F" w:rsidRDefault="00795CC4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principes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nouiter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sublimati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venire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homagium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recipiant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Joan. 16[:28]: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Exivi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a Patre, et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mundum</w:t>
      </w:r>
      <w:r w:rsidRPr="008273E7">
        <w:rPr>
          <w:rFonts w:ascii="Times New Roman" w:hAnsi="Times New Roman" w:cs="Times New Roman"/>
          <w:sz w:val="24"/>
          <w:szCs w:val="24"/>
        </w:rPr>
        <w:t xml:space="preserve">. Hic notandum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quantum Christus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dilexerit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deseruit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celos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veniret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Sed ne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excusarent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ignorantia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premisit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seru</w:t>
      </w:r>
      <w:r w:rsidRPr="008273E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premunentes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Mal. 3[:1]: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sanctum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Dominator</w:t>
      </w:r>
      <w:r w:rsidR="0092305C" w:rsidRPr="008273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3E7">
        <w:rPr>
          <w:rFonts w:ascii="Times New Roman" w:hAnsi="Times New Roman" w:cs="Times New Roman"/>
          <w:sz w:val="24"/>
          <w:szCs w:val="24"/>
        </w:rPr>
        <w:t xml:space="preserve"> Dominu</w:t>
      </w:r>
      <w:r w:rsidR="0092305C" w:rsidRPr="008273E7">
        <w:rPr>
          <w:rFonts w:ascii="Times New Roman" w:hAnsi="Times New Roman" w:cs="Times New Roman"/>
          <w:sz w:val="24"/>
          <w:szCs w:val="24"/>
        </w:rPr>
        <w:t>s.</w:t>
      </w:r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Q</w:t>
      </w:r>
      <w:r w:rsidRPr="008273E7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recipere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noluerunt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homagium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Joan. 1[:11]: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In propria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, et sui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receperunt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Judeorum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venientem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ad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proprium castrum non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admiserunt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reciperunt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in primo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cum in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abiecerunt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Simili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Christiani qui modo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admittunt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sed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natale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vel post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pascha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turpiter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expellunt</w:t>
      </w:r>
      <w:proofErr w:type="spellEnd"/>
      <w:r w:rsidR="00145D26">
        <w:rPr>
          <w:rFonts w:ascii="Times New Roman" w:hAnsi="Times New Roman" w:cs="Times New Roman"/>
          <w:sz w:val="24"/>
          <w:szCs w:val="24"/>
        </w:rPr>
        <w:t>.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r w:rsidR="00145D26">
        <w:rPr>
          <w:rFonts w:ascii="Times New Roman" w:hAnsi="Times New Roman" w:cs="Times New Roman"/>
          <w:sz w:val="24"/>
          <w:szCs w:val="24"/>
        </w:rPr>
        <w:t>D</w:t>
      </w:r>
      <w:r w:rsidR="0092305C" w:rsidRPr="008273E7">
        <w:rPr>
          <w:rFonts w:ascii="Times New Roman" w:hAnsi="Times New Roman" w:cs="Times New Roman"/>
          <w:sz w:val="24"/>
          <w:szCs w:val="24"/>
        </w:rPr>
        <w:t xml:space="preserve">ixit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turpius</w:t>
      </w:r>
      <w:proofErr w:type="spellEnd"/>
      <w:r w:rsidR="0092305C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C" w:rsidRPr="008273E7">
        <w:rPr>
          <w:rFonts w:ascii="Times New Roman" w:hAnsi="Times New Roman" w:cs="Times New Roman"/>
          <w:sz w:val="24"/>
          <w:szCs w:val="24"/>
        </w:rPr>
        <w:t>eicitur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admittitur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hospes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quomodo tales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expulsores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audent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a Christo quibus Christus posset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respondere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querentibus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in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adiutorem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sui. Sed et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pessime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Christi, id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>,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in loco Christi fere per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annum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35FA" w:rsidRPr="008273E7">
        <w:rPr>
          <w:rFonts w:ascii="Times New Roman" w:hAnsi="Times New Roman" w:cs="Times New Roman"/>
          <w:sz w:val="24"/>
          <w:szCs w:val="24"/>
        </w:rPr>
        <w:t>paschate</w:t>
      </w:r>
      <w:proofErr w:type="spellEnd"/>
      <w:r w:rsidR="008335FA" w:rsidRPr="008273E7">
        <w:rPr>
          <w:rFonts w:ascii="Times New Roman" w:hAnsi="Times New Roman" w:cs="Times New Roman"/>
          <w:sz w:val="24"/>
          <w:szCs w:val="24"/>
        </w:rPr>
        <w:t xml:space="preserve"> Domini</w:t>
      </w:r>
      <w:r w:rsidR="00BF52D0">
        <w:rPr>
          <w:rFonts w:ascii="Times New Roman" w:hAnsi="Times New Roman" w:cs="Times New Roman"/>
          <w:sz w:val="24"/>
          <w:szCs w:val="24"/>
        </w:rPr>
        <w:t>,</w:t>
      </w:r>
      <w:r w:rsidR="008335FA" w:rsidRPr="008273E7">
        <w:rPr>
          <w:rFonts w:ascii="Times New Roman" w:hAnsi="Times New Roman" w:cs="Times New Roman"/>
          <w:sz w:val="24"/>
          <w:szCs w:val="24"/>
        </w:rPr>
        <w:t xml:space="preserve"> Joan. 5[:43]: </w:t>
      </w:r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35FA" w:rsidRPr="008273E7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, et non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recipistis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me,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alius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venerit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, et </w:t>
      </w:r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illum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recipietis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BAFB1" w14:textId="77777777" w:rsidR="000A039F" w:rsidRDefault="00765808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magister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discipulum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Dan. 10[:14]: Ego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docerem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qualia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Sed et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Joan. 12[:46]: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Ego lux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mundum,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qui credit in me, 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maneat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12DF8" w14:textId="10931046" w:rsidR="004C01ED" w:rsidRPr="008273E7" w:rsidRDefault="00765808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lastRenderedPageBreak/>
        <w:t xml:space="preserve">¶ Sed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sufferre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similes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lupo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audire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latratus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canum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noctue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que fugit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Joan. 3[:20]: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Omnis qui male agit,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odit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arguantur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opera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qu</w:t>
      </w:r>
      <w:r w:rsidR="004C01ED" w:rsidRPr="008273E7">
        <w:rPr>
          <w:rFonts w:ascii="Times New Roman" w:hAnsi="Times New Roman" w:cs="Times New Roman"/>
          <w:sz w:val="24"/>
          <w:szCs w:val="24"/>
        </w:rPr>
        <w:t>i</w:t>
      </w:r>
    </w:p>
    <w:p w14:paraId="0B71D9AE" w14:textId="13A6A529" w:rsidR="004C01ED" w:rsidRPr="008273E7" w:rsidRDefault="004C01ED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>/fol. 315rb/</w:t>
      </w:r>
    </w:p>
    <w:p w14:paraId="3051CBD6" w14:textId="77777777" w:rsidR="000A039F" w:rsidRDefault="004C01ED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>sint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prop</w:t>
      </w:r>
      <w:r w:rsidRPr="008273E7">
        <w:rPr>
          <w:rFonts w:ascii="Times New Roman" w:hAnsi="Times New Roman" w:cs="Times New Roman"/>
          <w:sz w:val="24"/>
          <w:szCs w:val="24"/>
        </w:rPr>
        <w:t>inqui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ad mortem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sustinent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>. Et sunt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mercatores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abscondunt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pannos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a luce</w:t>
      </w:r>
      <w:r w:rsidRPr="008273E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refugiunt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Christum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r w:rsidRPr="008273E7">
        <w:rPr>
          <w:rFonts w:ascii="Times New Roman" w:hAnsi="Times New Roman" w:cs="Times New Roman"/>
          <w:sz w:val="24"/>
          <w:szCs w:val="24"/>
        </w:rPr>
        <w:t xml:space="preserve">cum ipse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non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r w:rsidRPr="008273E7">
        <w:rPr>
          <w:rFonts w:ascii="Times New Roman" w:hAnsi="Times New Roman" w:cs="Times New Roman"/>
          <w:sz w:val="24"/>
          <w:szCs w:val="24"/>
        </w:rPr>
        <w:t xml:space="preserve">sed ad misericordiam, Luc. 5[:32]: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vocare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iustos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sed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pec</w:t>
      </w:r>
      <w:r w:rsidR="00EE22AB">
        <w:rPr>
          <w:rFonts w:ascii="Times New Roman" w:hAnsi="Times New Roman" w:cs="Times New Roman"/>
          <w:sz w:val="24"/>
          <w:szCs w:val="24"/>
        </w:rPr>
        <w:t>c</w:t>
      </w:r>
      <w:r w:rsidR="00324815" w:rsidRPr="008273E7">
        <w:rPr>
          <w:rFonts w:ascii="Times New Roman" w:hAnsi="Times New Roman" w:cs="Times New Roman"/>
          <w:sz w:val="24"/>
          <w:szCs w:val="24"/>
        </w:rPr>
        <w:t>i</w:t>
      </w:r>
      <w:r w:rsidR="00EE22AB">
        <w:rPr>
          <w:rFonts w:ascii="Times New Roman" w:hAnsi="Times New Roman" w:cs="Times New Roman"/>
          <w:sz w:val="24"/>
          <w:szCs w:val="24"/>
        </w:rPr>
        <w:t>n</w:t>
      </w:r>
      <w:r w:rsidR="00324815" w:rsidRPr="008273E7">
        <w:rPr>
          <w:rFonts w:ascii="Times New Roman" w:hAnsi="Times New Roman" w:cs="Times New Roman"/>
          <w:sz w:val="24"/>
          <w:szCs w:val="24"/>
        </w:rPr>
        <w:t>osos</w:t>
      </w:r>
      <w:proofErr w:type="spellEnd"/>
      <w:r w:rsidR="00EE22AB">
        <w:rPr>
          <w:rFonts w:ascii="Times New Roman" w:hAnsi="Times New Roman" w:cs="Times New Roman"/>
          <w:sz w:val="24"/>
          <w:szCs w:val="24"/>
        </w:rPr>
        <w:t>,</w:t>
      </w:r>
      <w:r w:rsidR="00324815" w:rsidRPr="008273E7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cucufam</w:t>
      </w:r>
      <w:proofErr w:type="spellEnd"/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pecc</w:t>
      </w:r>
      <w:r w:rsidR="0095215B">
        <w:rPr>
          <w:rFonts w:ascii="Times New Roman" w:hAnsi="Times New Roman" w:cs="Times New Roman"/>
          <w:sz w:val="24"/>
          <w:szCs w:val="24"/>
        </w:rPr>
        <w:t>un</w:t>
      </w:r>
      <w:r w:rsidR="00324815" w:rsidRPr="008273E7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recuticus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fugit</w:t>
      </w:r>
      <w:r w:rsidR="000A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sellam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mordet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815" w:rsidRPr="008273E7">
        <w:rPr>
          <w:rFonts w:ascii="Times New Roman" w:hAnsi="Times New Roman" w:cs="Times New Roman"/>
          <w:sz w:val="24"/>
          <w:szCs w:val="24"/>
        </w:rPr>
        <w:t>sessorem</w:t>
      </w:r>
      <w:proofErr w:type="spellEnd"/>
      <w:r w:rsidR="00324815" w:rsidRPr="008273E7">
        <w:rPr>
          <w:rFonts w:ascii="Times New Roman" w:hAnsi="Times New Roman" w:cs="Times New Roman"/>
          <w:sz w:val="24"/>
          <w:szCs w:val="24"/>
        </w:rPr>
        <w:t xml:space="preserve">, 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Joan. 3[:19]: </w:t>
      </w:r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Lux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mund</w:t>
      </w:r>
      <w:r w:rsidR="00D965CB" w:rsidRPr="008273E7">
        <w:rPr>
          <w:rFonts w:ascii="Times New Roman" w:hAnsi="Times New Roman" w:cs="Times New Roman"/>
          <w:sz w:val="24"/>
          <w:szCs w:val="24"/>
        </w:rPr>
        <w:t>u</w:t>
      </w:r>
      <w:r w:rsidR="000A039F">
        <w:rPr>
          <w:rFonts w:ascii="Times New Roman" w:hAnsi="Times New Roman" w:cs="Times New Roman"/>
          <w:sz w:val="24"/>
          <w:szCs w:val="24"/>
        </w:rPr>
        <w:t>m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, </w:t>
      </w:r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sz w:val="24"/>
          <w:szCs w:val="24"/>
        </w:rPr>
        <w:t>dilex</w:t>
      </w:r>
      <w:r w:rsidR="00D965CB" w:rsidRPr="008273E7">
        <w:rPr>
          <w:rFonts w:ascii="Times New Roman" w:hAnsi="Times New Roman" w:cs="Times New Roman"/>
          <w:sz w:val="24"/>
          <w:szCs w:val="24"/>
        </w:rPr>
        <w:t>erun</w:t>
      </w:r>
      <w:r w:rsidR="00765808" w:rsidRPr="008273E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8273E7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73E7" w:rsidRPr="008273E7">
        <w:rPr>
          <w:rFonts w:ascii="Times New Roman" w:hAnsi="Times New Roman" w:cs="Times New Roman"/>
          <w:i/>
          <w:iCs/>
          <w:sz w:val="24"/>
          <w:szCs w:val="24"/>
        </w:rPr>
        <w:t>tenebras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5808" w:rsidRPr="008273E7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765808" w:rsidRPr="00827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CFB5B" w14:textId="08B83996" w:rsidR="00795CC4" w:rsidRPr="008273E7" w:rsidRDefault="008273E7" w:rsidP="000A03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3E7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egr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magnus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iacebat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magnus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egrotus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Vere Christus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tantum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273E7">
        <w:rPr>
          <w:rFonts w:ascii="Times New Roman" w:hAnsi="Times New Roman" w:cs="Times New Roman"/>
          <w:sz w:val="24"/>
          <w:szCs w:val="24"/>
        </w:rPr>
        <w:t xml:space="preserve"> Marc. 1[:14]: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Venit Jesus in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Galilaeam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73E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optulerunt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languidos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et ipse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cura</w:t>
      </w:r>
      <w:r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magna misericordia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2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273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273E7">
        <w:rPr>
          <w:rFonts w:ascii="Times New Roman" w:hAnsi="Times New Roman" w:cs="Times New Roman"/>
          <w:sz w:val="24"/>
          <w:szCs w:val="24"/>
        </w:rPr>
        <w:t xml:space="preserve"> Tim. 1[:15]: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Christus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in mundum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salvos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>, quorum primus</w:t>
      </w:r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7AAE" w:rsidRPr="008273E7">
        <w:rPr>
          <w:rFonts w:ascii="Times New Roman" w:hAnsi="Times New Roman" w:cs="Times New Roman"/>
          <w:i/>
          <w:iCs/>
          <w:sz w:val="24"/>
          <w:szCs w:val="24"/>
        </w:rPr>
        <w:t>ego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sum</w:t>
      </w:r>
      <w:r w:rsidRPr="008273E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900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suscitat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Matt. 8[:7]: </w:t>
      </w:r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>curabo</w:t>
      </w:r>
      <w:proofErr w:type="spellEnd"/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7AAE" w:rsidRPr="00117AAE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00D57">
        <w:rPr>
          <w:rFonts w:ascii="Times New Roman" w:hAnsi="Times New Roman" w:cs="Times New Roman"/>
          <w:sz w:val="24"/>
          <w:szCs w:val="24"/>
        </w:rPr>
        <w:t xml:space="preserve"> </w:t>
      </w:r>
      <w:r w:rsidR="00117AAE">
        <w:rPr>
          <w:rFonts w:ascii="Times New Roman" w:hAnsi="Times New Roman" w:cs="Times New Roman"/>
          <w:sz w:val="24"/>
          <w:szCs w:val="24"/>
        </w:rPr>
        <w:t xml:space="preserve">multi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libencius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interfectorem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medicatorem</w:t>
      </w:r>
      <w:proofErr w:type="spellEnd"/>
      <w:r w:rsidR="00AB42AE">
        <w:rPr>
          <w:rFonts w:ascii="Times New Roman" w:hAnsi="Times New Roman" w:cs="Times New Roman"/>
          <w:sz w:val="24"/>
          <w:szCs w:val="24"/>
        </w:rPr>
        <w:t>,</w:t>
      </w:r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medicamentum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AE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117AAE">
        <w:rPr>
          <w:rFonts w:ascii="Times New Roman" w:hAnsi="Times New Roman" w:cs="Times New Roman"/>
          <w:sz w:val="24"/>
          <w:szCs w:val="24"/>
        </w:rPr>
        <w:t>,</w:t>
      </w:r>
      <w:r w:rsidRPr="008273E7">
        <w:rPr>
          <w:rFonts w:ascii="Times New Roman" w:hAnsi="Times New Roman" w:cs="Times New Roman"/>
          <w:sz w:val="24"/>
          <w:szCs w:val="24"/>
        </w:rPr>
        <w:t xml:space="preserve"> Joan. 10[:10]: 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Fur non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nisi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7AAE">
        <w:rPr>
          <w:rFonts w:ascii="Times New Roman" w:hAnsi="Times New Roman" w:cs="Times New Roman"/>
          <w:sz w:val="24"/>
          <w:szCs w:val="24"/>
        </w:rPr>
        <w:t>mactet</w:t>
      </w:r>
      <w:r w:rsidR="00117AAE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perdat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17AAE">
        <w:rPr>
          <w:rFonts w:ascii="Times New Roman" w:hAnsi="Times New Roman" w:cs="Times New Roman"/>
          <w:sz w:val="24"/>
          <w:szCs w:val="24"/>
        </w:rPr>
        <w:t>E</w:t>
      </w:r>
      <w:r w:rsidR="00117AAE" w:rsidRPr="00117AAE">
        <w:rPr>
          <w:rFonts w:ascii="Times New Roman" w:hAnsi="Times New Roman" w:cs="Times New Roman"/>
          <w:sz w:val="24"/>
          <w:szCs w:val="24"/>
        </w:rPr>
        <w:t>t</w:t>
      </w:r>
      <w:r w:rsidR="00117AAE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go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827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3E7">
        <w:rPr>
          <w:rFonts w:ascii="Times New Roman" w:hAnsi="Times New Roman" w:cs="Times New Roman"/>
          <w:i/>
          <w:iCs/>
          <w:sz w:val="24"/>
          <w:szCs w:val="24"/>
        </w:rPr>
        <w:t>habeant</w:t>
      </w:r>
      <w:proofErr w:type="spellEnd"/>
      <w:r w:rsidRPr="008273E7">
        <w:rPr>
          <w:rFonts w:ascii="Times New Roman" w:hAnsi="Times New Roman" w:cs="Times New Roman"/>
          <w:sz w:val="24"/>
          <w:szCs w:val="24"/>
        </w:rPr>
        <w:t xml:space="preserve">. </w:t>
      </w:r>
      <w:r w:rsidR="004A44A4">
        <w:rPr>
          <w:rFonts w:ascii="Times New Roman" w:hAnsi="Times New Roman" w:cs="Times New Roman"/>
          <w:sz w:val="24"/>
          <w:szCs w:val="24"/>
        </w:rPr>
        <w:t xml:space="preserve">Et hoc </w:t>
      </w:r>
      <w:proofErr w:type="spellStart"/>
      <w:r w:rsidR="004A44A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A44A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A44A4">
        <w:rPr>
          <w:rFonts w:ascii="Times New Roman" w:hAnsi="Times New Roman" w:cs="Times New Roman"/>
          <w:sz w:val="24"/>
          <w:szCs w:val="24"/>
        </w:rPr>
        <w:t>longam</w:t>
      </w:r>
      <w:proofErr w:type="spellEnd"/>
      <w:r w:rsidR="004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A4">
        <w:rPr>
          <w:rFonts w:ascii="Times New Roman" w:hAnsi="Times New Roman" w:cs="Times New Roman"/>
          <w:sz w:val="24"/>
          <w:szCs w:val="24"/>
        </w:rPr>
        <w:t>di</w:t>
      </w:r>
      <w:r w:rsidR="00EC5100">
        <w:rPr>
          <w:rFonts w:ascii="Times New Roman" w:hAnsi="Times New Roman" w:cs="Times New Roman"/>
          <w:sz w:val="24"/>
          <w:szCs w:val="24"/>
        </w:rPr>
        <w:t>e</w:t>
      </w:r>
      <w:r w:rsidR="004A44A4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="004A44A4">
        <w:rPr>
          <w:rFonts w:ascii="Times New Roman" w:hAnsi="Times New Roman" w:cs="Times New Roman"/>
          <w:sz w:val="24"/>
          <w:szCs w:val="24"/>
        </w:rPr>
        <w:t>.</w:t>
      </w:r>
    </w:p>
    <w:sectPr w:rsidR="00795CC4" w:rsidRPr="008273E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C4"/>
    <w:rsid w:val="000A039F"/>
    <w:rsid w:val="00117AAE"/>
    <w:rsid w:val="00145D26"/>
    <w:rsid w:val="00324815"/>
    <w:rsid w:val="003616ED"/>
    <w:rsid w:val="003D5EF9"/>
    <w:rsid w:val="00433B90"/>
    <w:rsid w:val="0049383B"/>
    <w:rsid w:val="004A44A4"/>
    <w:rsid w:val="004C01ED"/>
    <w:rsid w:val="0060075B"/>
    <w:rsid w:val="00727407"/>
    <w:rsid w:val="00765808"/>
    <w:rsid w:val="00795CC4"/>
    <w:rsid w:val="008273E7"/>
    <w:rsid w:val="008335FA"/>
    <w:rsid w:val="00864E14"/>
    <w:rsid w:val="008E3C78"/>
    <w:rsid w:val="00900D57"/>
    <w:rsid w:val="0092305C"/>
    <w:rsid w:val="0095215B"/>
    <w:rsid w:val="009E3723"/>
    <w:rsid w:val="00AB42AE"/>
    <w:rsid w:val="00B41DFD"/>
    <w:rsid w:val="00BF52D0"/>
    <w:rsid w:val="00D965CB"/>
    <w:rsid w:val="00E24D0F"/>
    <w:rsid w:val="00EC5100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1E12"/>
  <w15:chartTrackingRefBased/>
  <w15:docId w15:val="{EC2638FE-4288-455B-8F96-F8D35A1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2024-08-25T19:15:00Z</dcterms:created>
  <dcterms:modified xsi:type="dcterms:W3CDTF">2024-08-25T19:26:00Z</dcterms:modified>
</cp:coreProperties>
</file>