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952C" w14:textId="66E1974A" w:rsidR="00433B90" w:rsidRPr="001C254A" w:rsidRDefault="00031245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72013927"/>
      <w:r w:rsidRPr="001C254A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162385A" w14:textId="380B68FB" w:rsidR="00031245" w:rsidRPr="001C254A" w:rsidRDefault="00031245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 xml:space="preserve">248 </w:t>
      </w:r>
      <w:proofErr w:type="spellStart"/>
      <w:r w:rsidR="000020DC" w:rsidRPr="001C254A">
        <w:rPr>
          <w:rFonts w:ascii="Times New Roman" w:hAnsi="Times New Roman" w:cs="Times New Roman"/>
          <w:sz w:val="24"/>
          <w:szCs w:val="24"/>
        </w:rPr>
        <w:t>Templum</w:t>
      </w:r>
      <w:proofErr w:type="spellEnd"/>
    </w:p>
    <w:bookmarkEnd w:id="0"/>
    <w:p w14:paraId="161A0013" w14:textId="300A8730" w:rsidR="000020DC" w:rsidRPr="001C254A" w:rsidRDefault="000020DC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accipitur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in scriptura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dupliciter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.</w:t>
      </w:r>
      <w:r w:rsidR="008F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literaliter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corpus Christi in quo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plenitudo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diuintatis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habitat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Joan.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vultimo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2[:19]: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Solvite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soluetis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hoc</w:t>
      </w:r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et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tribus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etc. Item,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mater</w:t>
      </w:r>
      <w:r w:rsidRPr="001C254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A6163" w14:textId="669E9E5D" w:rsidR="000020DC" w:rsidRPr="001C254A" w:rsidRDefault="000020DC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>/fol. 306vb/</w:t>
      </w:r>
    </w:p>
    <w:p w14:paraId="7E047DB9" w14:textId="77777777" w:rsidR="008F4FDD" w:rsidRDefault="000020DC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 xml:space="preserve">Christi in qua Deus et homo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novem</w:t>
      </w:r>
      <w:proofErr w:type="spellEnd"/>
      <w:r w:rsidR="00131425" w:rsidRPr="001C254A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mensibus</w:t>
      </w:r>
      <w:proofErr w:type="spellEnd"/>
      <w:r w:rsidR="00131425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425" w:rsidRPr="001C254A">
        <w:rPr>
          <w:rFonts w:ascii="Times New Roman" w:hAnsi="Times New Roman" w:cs="Times New Roman"/>
          <w:sz w:val="24"/>
          <w:szCs w:val="24"/>
        </w:rPr>
        <w:t>mansit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, Mal</w:t>
      </w:r>
      <w:r w:rsidR="00131425" w:rsidRPr="001C254A">
        <w:rPr>
          <w:rFonts w:ascii="Times New Roman" w:hAnsi="Times New Roman" w:cs="Times New Roman"/>
          <w:sz w:val="24"/>
          <w:szCs w:val="24"/>
        </w:rPr>
        <w:t>a</w:t>
      </w:r>
      <w:r w:rsidRPr="001C254A">
        <w:rPr>
          <w:rFonts w:ascii="Times New Roman" w:hAnsi="Times New Roman" w:cs="Times New Roman"/>
          <w:sz w:val="24"/>
          <w:szCs w:val="24"/>
        </w:rPr>
        <w:t xml:space="preserve">. 3[:1]: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Statim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habito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consensu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veniet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vterum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r w:rsidRPr="001C254A">
        <w:rPr>
          <w:rFonts w:ascii="Times New Roman" w:hAnsi="Times New Roman" w:cs="Times New Roman"/>
          <w:i/>
          <w:sz w:val="24"/>
          <w:szCs w:val="24"/>
        </w:rPr>
        <w:t>Dominator</w:t>
      </w:r>
      <w:r w:rsidRPr="001C254A">
        <w:rPr>
          <w:rFonts w:ascii="Times New Roman" w:hAnsi="Times New Roman" w:cs="Times New Roman"/>
          <w:sz w:val="24"/>
          <w:szCs w:val="24"/>
        </w:rPr>
        <w:t xml:space="preserve">. Psal. [10:5]: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Dominus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sancto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suo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vtero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deserit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qui</w:t>
      </w:r>
      <w:r w:rsidR="00131425" w:rsidRPr="001C25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615F76" w:rsidRPr="001C254A">
        <w:rPr>
          <w:rFonts w:ascii="Times New Roman" w:hAnsi="Times New Roman" w:cs="Times New Roman"/>
          <w:sz w:val="24"/>
          <w:szCs w:val="24"/>
        </w:rPr>
        <w:t>[</w:t>
      </w:r>
      <w:r w:rsidRPr="001C254A">
        <w:rPr>
          <w:rFonts w:ascii="Times New Roman" w:hAnsi="Times New Roman" w:cs="Times New Roman"/>
          <w:sz w:val="24"/>
          <w:szCs w:val="24"/>
        </w:rPr>
        <w:t xml:space="preserve">Psal. 10:5]: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Dominus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caelo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sedes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</w:t>
      </w:r>
      <w:r w:rsidR="00615F76" w:rsidRPr="001C254A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sanctum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firmiter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fundatur</w:t>
      </w:r>
      <w:proofErr w:type="spellEnd"/>
      <w:r w:rsidR="00D81E2D">
        <w:rPr>
          <w:rFonts w:ascii="Times New Roman" w:hAnsi="Times New Roman" w:cs="Times New Roman"/>
          <w:sz w:val="24"/>
          <w:szCs w:val="24"/>
        </w:rPr>
        <w:t>,</w:t>
      </w:r>
      <w:r w:rsidR="00615F76" w:rsidRPr="001C25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eleuatum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spem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pauimenta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fricatum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deauratum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puturatum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615F76" w:rsidRPr="001C254A">
        <w:rPr>
          <w:rFonts w:ascii="Times New Roman" w:hAnsi="Times New Roman" w:cs="Times New Roman"/>
          <w:sz w:val="24"/>
          <w:szCs w:val="24"/>
        </w:rPr>
        <w:t>fecunditatem</w:t>
      </w:r>
      <w:proofErr w:type="spellEnd"/>
      <w:r w:rsidR="00615F76" w:rsidRPr="001C2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650F9" w14:textId="77777777" w:rsidR="008F4FDD" w:rsidRDefault="00615F76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fidelis in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corde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velud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in choro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seruitur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letanter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[1] Cor. 3[:16]: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Nescitis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Dei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>, et Spiritus</w:t>
      </w:r>
      <w:r w:rsidRPr="001C254A">
        <w:rPr>
          <w:rFonts w:ascii="Times New Roman" w:hAnsi="Times New Roman" w:cs="Times New Roman"/>
          <w:sz w:val="24"/>
          <w:szCs w:val="24"/>
        </w:rPr>
        <w:t xml:space="preserve"> Sanctus </w:t>
      </w:r>
      <w:r w:rsidRPr="001C254A">
        <w:rPr>
          <w:rFonts w:ascii="Times New Roman" w:hAnsi="Times New Roman" w:cs="Times New Roman"/>
          <w:i/>
          <w:sz w:val="24"/>
          <w:szCs w:val="24"/>
        </w:rPr>
        <w:t>habitat in vobis</w:t>
      </w:r>
      <w:r w:rsidRPr="001C254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violant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8F4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coquinam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gulosorum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lupanar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meretricum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luxuriosi</w:t>
      </w:r>
      <w:proofErr w:type="spellEnd"/>
      <w:r w:rsidR="003E2C6D">
        <w:rPr>
          <w:rFonts w:ascii="Times New Roman" w:hAnsi="Times New Roman" w:cs="Times New Roman"/>
          <w:sz w:val="24"/>
          <w:szCs w:val="24"/>
        </w:rPr>
        <w:t>,</w:t>
      </w:r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stabulum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porcorum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E12" w:rsidRPr="001C254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75E1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accidiosi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speluncam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latronum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cupidi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campum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belli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iracundi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carcerem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mundi,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turrim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Babel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075E12" w:rsidRPr="001C254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r w:rsidR="00075E12" w:rsidRPr="001C254A">
        <w:rPr>
          <w:rFonts w:ascii="Times New Roman" w:hAnsi="Times New Roman" w:cs="Times New Roman"/>
          <w:sz w:val="24"/>
          <w:szCs w:val="24"/>
        </w:rPr>
        <w:t>[</w:t>
      </w:r>
      <w:r w:rsidRPr="001C254A">
        <w:rPr>
          <w:rFonts w:ascii="Times New Roman" w:hAnsi="Times New Roman" w:cs="Times New Roman"/>
          <w:sz w:val="24"/>
          <w:szCs w:val="24"/>
        </w:rPr>
        <w:t>1</w:t>
      </w:r>
      <w:r w:rsidR="00075E12" w:rsidRPr="001C254A">
        <w:rPr>
          <w:rFonts w:ascii="Times New Roman" w:hAnsi="Times New Roman" w:cs="Times New Roman"/>
          <w:sz w:val="24"/>
          <w:szCs w:val="24"/>
        </w:rPr>
        <w:t>]</w:t>
      </w:r>
      <w:r w:rsidRPr="001C254A">
        <w:rPr>
          <w:rFonts w:ascii="Times New Roman" w:hAnsi="Times New Roman" w:cs="Times New Roman"/>
          <w:sz w:val="24"/>
          <w:szCs w:val="24"/>
        </w:rPr>
        <w:t xml:space="preserve"> Cor. 6[:19]: </w:t>
      </w:r>
      <w:proofErr w:type="gramStart"/>
      <w:r w:rsidRPr="001C254A">
        <w:rPr>
          <w:rFonts w:ascii="Times New Roman" w:hAnsi="Times New Roman" w:cs="Times New Roman"/>
          <w:i/>
          <w:sz w:val="24"/>
          <w:szCs w:val="24"/>
        </w:rPr>
        <w:t>An</w:t>
      </w:r>
      <w:proofErr w:type="gram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nescitis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quoniam membra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sunt </w:t>
      </w:r>
      <w:r w:rsidRPr="001C254A">
        <w:rPr>
          <w:rFonts w:ascii="Times New Roman" w:hAnsi="Times New Roman" w:cs="Times New Roman"/>
          <w:i/>
          <w:sz w:val="24"/>
          <w:szCs w:val="24"/>
        </w:rPr>
        <w:lastRenderedPageBreak/>
        <w:t>Spiritus Sancti</w:t>
      </w:r>
      <w:r w:rsidRPr="001C254A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>,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D60AF7" w:rsidRPr="001C254A">
        <w:rPr>
          <w:rFonts w:ascii="Times New Roman" w:hAnsi="Times New Roman" w:cs="Times New Roman"/>
          <w:sz w:val="24"/>
          <w:szCs w:val="24"/>
        </w:rPr>
        <w:t>[</w:t>
      </w:r>
      <w:r w:rsidRPr="001C254A">
        <w:rPr>
          <w:rFonts w:ascii="Times New Roman" w:hAnsi="Times New Roman" w:cs="Times New Roman"/>
          <w:sz w:val="24"/>
          <w:szCs w:val="24"/>
        </w:rPr>
        <w:t xml:space="preserve">Psal. 78:1]: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Polluerunt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sanctum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.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[2] Mach. 6[:4]: </w:t>
      </w:r>
      <w:proofErr w:type="spellStart"/>
      <w:r w:rsidR="00D60AF7" w:rsidRPr="001C254A">
        <w:rPr>
          <w:rFonts w:ascii="Times New Roman" w:hAnsi="Times New Roman" w:cs="Times New Roman"/>
          <w:i/>
          <w:iCs/>
          <w:sz w:val="24"/>
          <w:szCs w:val="24"/>
        </w:rPr>
        <w:t>Templum</w:t>
      </w:r>
      <w:proofErr w:type="spellEnd"/>
      <w:r w:rsidR="00D60AF7" w:rsidRPr="001C2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iCs/>
          <w:sz w:val="24"/>
          <w:szCs w:val="24"/>
        </w:rPr>
        <w:t>luxuria</w:t>
      </w:r>
      <w:proofErr w:type="spellEnd"/>
      <w:r w:rsidR="00D60AF7" w:rsidRPr="001C254A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D60AF7" w:rsidRPr="001C254A">
        <w:rPr>
          <w:rFonts w:ascii="Times New Roman" w:hAnsi="Times New Roman" w:cs="Times New Roman"/>
          <w:i/>
          <w:iCs/>
          <w:sz w:val="24"/>
          <w:szCs w:val="24"/>
        </w:rPr>
        <w:t>comessationibus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544D4A" w14:textId="77777777" w:rsidR="008F4FDD" w:rsidRDefault="00D60AF7" w:rsidP="008F4FDD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materialiter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sumpto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gessit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C34642">
        <w:rPr>
          <w:rFonts w:ascii="Times New Roman" w:hAnsi="Times New Roman" w:cs="Times New Roman"/>
          <w:sz w:val="24"/>
          <w:szCs w:val="24"/>
        </w:rPr>
        <w:t>.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C34642">
        <w:rPr>
          <w:rFonts w:ascii="Times New Roman" w:hAnsi="Times New Roman" w:cs="Times New Roman"/>
          <w:sz w:val="24"/>
          <w:szCs w:val="24"/>
        </w:rPr>
        <w:t>P</w:t>
      </w:r>
      <w:r w:rsidRPr="001C254A">
        <w:rPr>
          <w:rFonts w:ascii="Times New Roman" w:hAnsi="Times New Roman" w:cs="Times New Roman"/>
          <w:sz w:val="24"/>
          <w:szCs w:val="24"/>
        </w:rPr>
        <w:t xml:space="preserve">er hoc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informans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prelatos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in agendum et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3F7E6C">
        <w:rPr>
          <w:rFonts w:ascii="Times New Roman" w:hAnsi="Times New Roman" w:cs="Times New Roman"/>
          <w:sz w:val="24"/>
          <w:szCs w:val="24"/>
        </w:rPr>
        <w:t>.</w:t>
      </w:r>
      <w:r w:rsidRPr="001C25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gessit</w:t>
      </w:r>
      <w:proofErr w:type="spellEnd"/>
      <w:r w:rsidR="003F7E6C">
        <w:rPr>
          <w:rFonts w:ascii="Times New Roman" w:hAnsi="Times New Roman" w:cs="Times New Roman"/>
          <w:sz w:val="24"/>
          <w:szCs w:val="24"/>
        </w:rPr>
        <w:t>.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3F7E6C">
        <w:rPr>
          <w:rFonts w:ascii="Times New Roman" w:hAnsi="Times New Roman" w:cs="Times New Roman"/>
          <w:sz w:val="24"/>
          <w:szCs w:val="24"/>
        </w:rPr>
        <w:t>Q</w:t>
      </w:r>
      <w:r w:rsidRPr="001C254A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Joan. 18[:20]: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Ego semper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docui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synagogis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corripuit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Joan. 2[:15]: </w:t>
      </w:r>
      <w:r w:rsidR="00C73AE3" w:rsidRPr="001C254A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C73AE3" w:rsidRPr="001C254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1C254A">
        <w:rPr>
          <w:rFonts w:ascii="Times New Roman" w:hAnsi="Times New Roman" w:cs="Times New Roman"/>
          <w:i/>
          <w:iCs/>
          <w:sz w:val="24"/>
          <w:szCs w:val="24"/>
        </w:rPr>
        <w:t>eci</w:t>
      </w:r>
      <w:r w:rsidR="00C73AE3" w:rsidRPr="001C254A">
        <w:rPr>
          <w:rFonts w:ascii="Times New Roman" w:hAnsi="Times New Roman" w:cs="Times New Roman"/>
          <w:i/>
          <w:iCs/>
          <w:sz w:val="24"/>
          <w:szCs w:val="24"/>
        </w:rPr>
        <w:t>sse</w:t>
      </w:r>
      <w:r w:rsidRPr="001C254A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flagellum de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funiculis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r w:rsidR="00C73AE3" w:rsidRPr="001C254A">
        <w:rPr>
          <w:rFonts w:ascii="Times New Roman" w:hAnsi="Times New Roman" w:cs="Times New Roman"/>
          <w:i/>
          <w:iCs/>
          <w:sz w:val="24"/>
          <w:szCs w:val="24"/>
        </w:rPr>
        <w:t>omnes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ejeci</w:t>
      </w:r>
      <w:r w:rsidR="00C73AE3" w:rsidRPr="001C254A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C73AE3" w:rsidRPr="001C254A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C73AE3" w:rsidRPr="001C254A">
        <w:rPr>
          <w:rFonts w:ascii="Times New Roman" w:hAnsi="Times New Roman" w:cs="Times New Roman"/>
          <w:i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absoluit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adulteram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Joan. 8[:2-3]: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Diluculo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venit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AE3" w:rsidRPr="001C254A">
        <w:rPr>
          <w:rFonts w:ascii="Times New Roman" w:hAnsi="Times New Roman" w:cs="Times New Roman"/>
          <w:i/>
          <w:sz w:val="24"/>
          <w:szCs w:val="24"/>
        </w:rPr>
        <w:t>in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adducunt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mulierem</w:t>
      </w:r>
      <w:proofErr w:type="spellEnd"/>
      <w:r w:rsidR="00C73AE3" w:rsidRPr="001C254A">
        <w:rPr>
          <w:rFonts w:ascii="Times New Roman" w:hAnsi="Times New Roman" w:cs="Times New Roman"/>
          <w:i/>
          <w:sz w:val="24"/>
          <w:szCs w:val="24"/>
        </w:rPr>
        <w:t>,</w:t>
      </w:r>
      <w:r w:rsidR="00C73AE3" w:rsidRPr="001C254A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405FD0D" w14:textId="39842729" w:rsidR="00AA0C32" w:rsidRPr="001C254A" w:rsidRDefault="00C73AE3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iCs/>
          <w:sz w:val="24"/>
          <w:szCs w:val="24"/>
        </w:rPr>
        <w:t xml:space="preserve">¶ 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debent esse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docti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corrigend</w:t>
      </w:r>
      <w:r w:rsidRPr="001C254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7E6C">
        <w:rPr>
          <w:rFonts w:ascii="Times New Roman" w:hAnsi="Times New Roman" w:cs="Times New Roman"/>
          <w:sz w:val="24"/>
          <w:szCs w:val="24"/>
        </w:rPr>
        <w:t>,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virtuosi in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remittendo</w:t>
      </w:r>
      <w:proofErr w:type="spellEnd"/>
      <w:r w:rsidR="003F7E6C">
        <w:rPr>
          <w:rFonts w:ascii="Times New Roman" w:hAnsi="Times New Roman" w:cs="Times New Roman"/>
          <w:sz w:val="24"/>
          <w:szCs w:val="24"/>
        </w:rPr>
        <w:t>,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benigni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sustentando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.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</w:t>
      </w:r>
      <w:r w:rsidR="00D60AF7" w:rsidRPr="001C254A">
        <w:rPr>
          <w:rFonts w:ascii="Times New Roman" w:hAnsi="Times New Roman" w:cs="Times New Roman"/>
          <w:sz w:val="24"/>
          <w:szCs w:val="24"/>
        </w:rPr>
        <w:t>relatio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</w:t>
      </w:r>
      <w:r w:rsidR="00D60AF7" w:rsidRPr="001C254A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sicut gladius</w:t>
      </w:r>
      <w:r w:rsidR="003F7E6C">
        <w:rPr>
          <w:rFonts w:ascii="Times New Roman" w:hAnsi="Times New Roman" w:cs="Times New Roman"/>
          <w:sz w:val="24"/>
          <w:szCs w:val="24"/>
        </w:rPr>
        <w:t>,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set in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stulti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discretione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correctione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.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Pr="001C254A">
        <w:rPr>
          <w:rFonts w:ascii="Times New Roman" w:hAnsi="Times New Roman" w:cs="Times New Roman"/>
          <w:sz w:val="24"/>
          <w:szCs w:val="24"/>
        </w:rPr>
        <w:t>I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furiosi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benignitate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cor</w:t>
      </w:r>
      <w:r w:rsidR="00CE7883">
        <w:rPr>
          <w:rFonts w:ascii="Times New Roman" w:hAnsi="Times New Roman" w:cs="Times New Roman"/>
          <w:sz w:val="24"/>
          <w:szCs w:val="24"/>
        </w:rPr>
        <w:t>u</w:t>
      </w:r>
      <w:r w:rsidR="00D60AF7" w:rsidRPr="001C254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>.</w:t>
      </w:r>
      <w:r w:rsidR="0024431E" w:rsidRPr="001C254A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Item, in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templo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sustinuit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adducunt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31E" w:rsidRPr="001C254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4431E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31E" w:rsidRPr="001C254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adulteram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, Joan. 8[:3], hoc autem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dicebant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temptantes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Fuit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blasphematus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Joan. 8[:48]: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Nonne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bene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dicimus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Samaritanus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A0C32" w:rsidRPr="001C254A">
        <w:rPr>
          <w:rFonts w:ascii="Times New Roman" w:hAnsi="Times New Roman" w:cs="Times New Roman"/>
          <w:iCs/>
          <w:sz w:val="24"/>
          <w:szCs w:val="24"/>
        </w:rPr>
        <w:t>etc.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Fuit</w:t>
      </w:r>
      <w:r w:rsidR="00AA0C32" w:rsidRPr="001C254A">
        <w:rPr>
          <w:rFonts w:ascii="Times New Roman" w:hAnsi="Times New Roman" w:cs="Times New Roman"/>
          <w:sz w:val="24"/>
          <w:szCs w:val="24"/>
        </w:rPr>
        <w:t xml:space="preserve"> et</w:t>
      </w:r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lapidatus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, Joan. 8[:59]: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Tulerunt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lapides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jacerent</w:t>
      </w:r>
      <w:proofErr w:type="spellEnd"/>
      <w:r w:rsidR="00D60AF7" w:rsidRPr="001C254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D60AF7" w:rsidRPr="001C254A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. Et nota hic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temptatus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[Joan. 8:6],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AF7" w:rsidRPr="001C254A">
        <w:rPr>
          <w:rFonts w:ascii="Times New Roman" w:hAnsi="Times New Roman" w:cs="Times New Roman"/>
          <w:sz w:val="24"/>
          <w:szCs w:val="24"/>
        </w:rPr>
        <w:t>blasphematus</w:t>
      </w:r>
      <w:proofErr w:type="spellEnd"/>
      <w:r w:rsidR="00AA0C32"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C32" w:rsidRPr="001C254A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D60AF7" w:rsidRPr="001C254A">
        <w:rPr>
          <w:rFonts w:ascii="Times New Roman" w:hAnsi="Times New Roman" w:cs="Times New Roman"/>
          <w:sz w:val="24"/>
          <w:szCs w:val="24"/>
        </w:rPr>
        <w:t xml:space="preserve"> sus</w:t>
      </w:r>
      <w:r w:rsidR="00AA0C32" w:rsidRPr="001C254A">
        <w:rPr>
          <w:rFonts w:ascii="Times New Roman" w:hAnsi="Times New Roman" w:cs="Times New Roman"/>
          <w:sz w:val="24"/>
          <w:szCs w:val="24"/>
        </w:rPr>
        <w:t>-</w:t>
      </w:r>
    </w:p>
    <w:p w14:paraId="39F95EF8" w14:textId="17634220" w:rsidR="00AA0C32" w:rsidRPr="001C254A" w:rsidRDefault="00AA0C32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>/fol. 307ra/</w:t>
      </w:r>
    </w:p>
    <w:p w14:paraId="0909A9AE" w14:textId="240C7718" w:rsidR="00D60AF7" w:rsidRPr="001C254A" w:rsidRDefault="00D60AF7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tinuit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[Joan. 10:33],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lapidatus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exiuit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[Joan. 8</w:t>
      </w:r>
      <w:r w:rsidR="008665EC">
        <w:rPr>
          <w:rFonts w:ascii="Times New Roman" w:hAnsi="Times New Roman" w:cs="Times New Roman"/>
          <w:sz w:val="24"/>
          <w:szCs w:val="24"/>
        </w:rPr>
        <w:t>:59</w:t>
      </w:r>
      <w:r w:rsidRPr="001C254A">
        <w:rPr>
          <w:rFonts w:ascii="Times New Roman" w:hAnsi="Times New Roman" w:cs="Times New Roman"/>
          <w:sz w:val="24"/>
          <w:szCs w:val="24"/>
        </w:rPr>
        <w:t>]</w:t>
      </w:r>
      <w:r w:rsidR="00AA0C32" w:rsidRPr="001C254A">
        <w:rPr>
          <w:rFonts w:ascii="Times New Roman" w:hAnsi="Times New Roman" w:cs="Times New Roman"/>
          <w:sz w:val="24"/>
          <w:szCs w:val="24"/>
        </w:rPr>
        <w:t>.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AA0C32" w:rsidRPr="001C254A">
        <w:rPr>
          <w:rFonts w:ascii="Times New Roman" w:hAnsi="Times New Roman" w:cs="Times New Roman"/>
          <w:sz w:val="24"/>
          <w:szCs w:val="24"/>
        </w:rPr>
        <w:t>S</w:t>
      </w:r>
      <w:r w:rsidRPr="001C254A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indign</w:t>
      </w:r>
      <w:r w:rsidR="00AA0C32" w:rsidRPr="001C254A">
        <w:rPr>
          <w:rFonts w:ascii="Times New Roman" w:hAnsi="Times New Roman" w:cs="Times New Roman"/>
          <w:sz w:val="24"/>
          <w:szCs w:val="24"/>
        </w:rPr>
        <w:t>atione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taceant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AA0C32" w:rsidRPr="001C254A">
        <w:rPr>
          <w:rFonts w:ascii="Times New Roman" w:hAnsi="Times New Roman" w:cs="Times New Roman"/>
          <w:sz w:val="24"/>
          <w:szCs w:val="24"/>
        </w:rPr>
        <w:t>per</w:t>
      </w:r>
      <w:r w:rsidRPr="001C254A">
        <w:rPr>
          <w:rFonts w:ascii="Times New Roman" w:hAnsi="Times New Roman" w:cs="Times New Roman"/>
          <w:sz w:val="24"/>
          <w:szCs w:val="24"/>
        </w:rPr>
        <w:t xml:space="preserve"> superbia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respondeant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violenciam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vindicent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E97BF" w14:textId="3211310F" w:rsidR="000020DC" w:rsidRPr="001C254A" w:rsidRDefault="00AA0C32" w:rsidP="008F4F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C254A">
        <w:rPr>
          <w:rFonts w:ascii="Times New Roman" w:hAnsi="Times New Roman" w:cs="Times New Roman"/>
          <w:sz w:val="24"/>
          <w:szCs w:val="24"/>
        </w:rPr>
        <w:t xml:space="preserve">¶ Est autem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dedicationis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orationem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>, Act. 3[:1]:</w:t>
      </w:r>
      <w:r w:rsidR="00EE59D1">
        <w:rPr>
          <w:rFonts w:ascii="Times New Roman" w:hAnsi="Times New Roman" w:cs="Times New Roman"/>
          <w:sz w:val="24"/>
          <w:szCs w:val="24"/>
        </w:rPr>
        <w:t xml:space="preserve">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Petrus et Joannes </w:t>
      </w:r>
      <w:proofErr w:type="spellStart"/>
      <w:r w:rsidRPr="001C254A">
        <w:rPr>
          <w:rFonts w:ascii="Times New Roman" w:hAnsi="Times New Roman" w:cs="Times New Roman"/>
          <w:iCs/>
          <w:sz w:val="24"/>
          <w:szCs w:val="24"/>
        </w:rPr>
        <w:t>ascende</w:t>
      </w:r>
      <w:r w:rsidR="00495353" w:rsidRPr="001C254A">
        <w:rPr>
          <w:rFonts w:ascii="Times New Roman" w:hAnsi="Times New Roman" w:cs="Times New Roman"/>
          <w:iCs/>
          <w:sz w:val="24"/>
          <w:szCs w:val="24"/>
        </w:rPr>
        <w:t>runt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templum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horam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orationis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Exemplum Luc. 2[:36] de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Anna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prophetissa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Et [Luc.] 18[:10] de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phariseo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="00495353" w:rsidRPr="001C254A">
        <w:rPr>
          <w:rFonts w:ascii="Times New Roman" w:hAnsi="Times New Roman" w:cs="Times New Roman"/>
          <w:sz w:val="24"/>
          <w:szCs w:val="24"/>
        </w:rPr>
        <w:t>et</w:t>
      </w:r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publicano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Item, ad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sa</w:t>
      </w:r>
      <w:r w:rsidR="00495353" w:rsidRPr="001C254A">
        <w:rPr>
          <w:rFonts w:ascii="Times New Roman" w:hAnsi="Times New Roman" w:cs="Times New Roman"/>
          <w:sz w:val="24"/>
          <w:szCs w:val="24"/>
        </w:rPr>
        <w:t>nc</w:t>
      </w:r>
      <w:r w:rsidRPr="001C254A">
        <w:rPr>
          <w:rFonts w:ascii="Times New Roman" w:hAnsi="Times New Roman" w:cs="Times New Roman"/>
          <w:sz w:val="24"/>
          <w:szCs w:val="24"/>
        </w:rPr>
        <w:t>tif</w:t>
      </w:r>
      <w:r w:rsidR="00495353" w:rsidRPr="001C254A">
        <w:rPr>
          <w:rFonts w:ascii="Times New Roman" w:hAnsi="Times New Roman" w:cs="Times New Roman"/>
          <w:sz w:val="24"/>
          <w:szCs w:val="24"/>
        </w:rPr>
        <w:t>i</w:t>
      </w:r>
      <w:r w:rsidRPr="001C254A">
        <w:rPr>
          <w:rFonts w:ascii="Times New Roman" w:hAnsi="Times New Roman" w:cs="Times New Roman"/>
          <w:sz w:val="24"/>
          <w:szCs w:val="24"/>
        </w:rPr>
        <w:t>c</w:t>
      </w:r>
      <w:r w:rsidR="00495353" w:rsidRPr="001C254A">
        <w:rPr>
          <w:rFonts w:ascii="Times New Roman" w:hAnsi="Times New Roman" w:cs="Times New Roman"/>
          <w:sz w:val="24"/>
          <w:szCs w:val="24"/>
        </w:rPr>
        <w:t>a</w:t>
      </w:r>
      <w:r w:rsidRPr="001C254A">
        <w:rPr>
          <w:rFonts w:ascii="Times New Roman" w:hAnsi="Times New Roman" w:cs="Times New Roman"/>
          <w:sz w:val="24"/>
          <w:szCs w:val="24"/>
        </w:rPr>
        <w:t>tionem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ministrantur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</w:t>
      </w:r>
      <w:r w:rsidRPr="001C254A">
        <w:rPr>
          <w:rFonts w:ascii="Times New Roman" w:hAnsi="Times New Roman" w:cs="Times New Roman"/>
          <w:sz w:val="24"/>
          <w:szCs w:val="24"/>
        </w:rPr>
        <w:lastRenderedPageBreak/>
        <w:t xml:space="preserve">sacramenta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sanati</w:t>
      </w:r>
      <w:r w:rsidR="00495353" w:rsidRPr="001C254A">
        <w:rPr>
          <w:rFonts w:ascii="Times New Roman" w:hAnsi="Times New Roman" w:cs="Times New Roman"/>
          <w:sz w:val="24"/>
          <w:szCs w:val="24"/>
        </w:rPr>
        <w:t>u</w:t>
      </w:r>
      <w:r w:rsidRPr="001C254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sanctificatiua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9D1">
        <w:rPr>
          <w:rFonts w:ascii="Times New Roman" w:hAnsi="Times New Roman" w:cs="Times New Roman"/>
          <w:sz w:val="24"/>
          <w:szCs w:val="24"/>
        </w:rPr>
        <w:t>vtpote</w:t>
      </w:r>
      <w:proofErr w:type="spellEnd"/>
      <w:r w:rsidR="00EE59D1">
        <w:rPr>
          <w:rFonts w:ascii="Times New Roman" w:hAnsi="Times New Roman" w:cs="Times New Roman"/>
          <w:sz w:val="24"/>
          <w:szCs w:val="24"/>
        </w:rPr>
        <w:t xml:space="preserve"> baptismus et penitentia, </w:t>
      </w:r>
      <w:proofErr w:type="spellStart"/>
      <w:r w:rsidR="00EE59D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32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D1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="00EE5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9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E5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. 47[:1] ubi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aquæ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autem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descendebant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in latus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templi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dextrum</w:t>
      </w:r>
      <w:r w:rsidRPr="001C254A">
        <w:rPr>
          <w:rFonts w:ascii="Times New Roman" w:hAnsi="Times New Roman" w:cs="Times New Roman"/>
          <w:sz w:val="24"/>
          <w:szCs w:val="24"/>
        </w:rPr>
        <w:t xml:space="preserve">. Item, ad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predicacionem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Act. 5[:20]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 angelus ad </w:t>
      </w:r>
      <w:proofErr w:type="spellStart"/>
      <w:r w:rsidRPr="001C254A">
        <w:rPr>
          <w:rFonts w:ascii="Times New Roman" w:hAnsi="Times New Roman" w:cs="Times New Roman"/>
          <w:sz w:val="24"/>
          <w:szCs w:val="24"/>
        </w:rPr>
        <w:t>apostoles</w:t>
      </w:r>
      <w:proofErr w:type="spellEnd"/>
      <w:r w:rsidRPr="001C254A">
        <w:rPr>
          <w:rFonts w:ascii="Times New Roman" w:hAnsi="Times New Roman" w:cs="Times New Roman"/>
          <w:sz w:val="24"/>
          <w:szCs w:val="24"/>
        </w:rPr>
        <w:t xml:space="preserve">, </w:t>
      </w:r>
      <w:r w:rsidRPr="001C254A">
        <w:rPr>
          <w:rFonts w:ascii="Times New Roman" w:hAnsi="Times New Roman" w:cs="Times New Roman"/>
          <w:i/>
          <w:sz w:val="24"/>
          <w:szCs w:val="24"/>
        </w:rPr>
        <w:t xml:space="preserve">Ite, et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stantes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loquimini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templo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C254A">
        <w:rPr>
          <w:rFonts w:ascii="Times New Roman" w:hAnsi="Times New Roman" w:cs="Times New Roman"/>
          <w:i/>
          <w:sz w:val="24"/>
          <w:szCs w:val="24"/>
        </w:rPr>
        <w:t>plebi</w:t>
      </w:r>
      <w:proofErr w:type="spellEnd"/>
      <w:r w:rsidRPr="001C254A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="00495353" w:rsidRPr="001C254A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0020DC" w:rsidRPr="001C254A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8F86" w14:textId="77777777" w:rsidR="000020DC" w:rsidRDefault="000020DC" w:rsidP="000020DC">
      <w:pPr>
        <w:spacing w:after="0" w:line="240" w:lineRule="auto"/>
      </w:pPr>
      <w:r>
        <w:separator/>
      </w:r>
    </w:p>
  </w:endnote>
  <w:endnote w:type="continuationSeparator" w:id="0">
    <w:p w14:paraId="6DC2C233" w14:textId="77777777" w:rsidR="000020DC" w:rsidRDefault="000020DC" w:rsidP="000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CADA" w14:textId="77777777" w:rsidR="000020DC" w:rsidRDefault="000020DC" w:rsidP="000020DC">
      <w:pPr>
        <w:spacing w:after="0" w:line="240" w:lineRule="auto"/>
      </w:pPr>
      <w:r>
        <w:separator/>
      </w:r>
    </w:p>
  </w:footnote>
  <w:footnote w:type="continuationSeparator" w:id="0">
    <w:p w14:paraId="51488922" w14:textId="77777777" w:rsidR="000020DC" w:rsidRDefault="000020DC" w:rsidP="000020DC">
      <w:pPr>
        <w:spacing w:after="0" w:line="240" w:lineRule="auto"/>
      </w:pPr>
      <w:r>
        <w:continuationSeparator/>
      </w:r>
    </w:p>
  </w:footnote>
  <w:footnote w:id="1">
    <w:p w14:paraId="7271C67F" w14:textId="20BDAECB" w:rsidR="000020DC" w:rsidRPr="0024431E" w:rsidRDefault="000020D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443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31E">
        <w:rPr>
          <w:rFonts w:ascii="Times New Roman" w:hAnsi="Times New Roman" w:cs="Times New Roman"/>
          <w:sz w:val="24"/>
          <w:szCs w:val="24"/>
        </w:rPr>
        <w:t>mater ]</w:t>
      </w:r>
      <w:proofErr w:type="gramEnd"/>
      <w:r w:rsidRPr="0024431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24431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24431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576C766" w14:textId="77777777" w:rsidR="00131425" w:rsidRPr="0024431E" w:rsidRDefault="0013142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70C21A4" w14:textId="20FE45C1" w:rsidR="00131425" w:rsidRDefault="0013142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443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31E">
        <w:rPr>
          <w:rFonts w:ascii="Times New Roman" w:hAnsi="Times New Roman" w:cs="Times New Roman"/>
          <w:sz w:val="24"/>
          <w:szCs w:val="24"/>
        </w:rPr>
        <w:t>nouem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4431E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4431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4431E">
        <w:rPr>
          <w:rFonts w:ascii="Times New Roman" w:hAnsi="Times New Roman" w:cs="Times New Roman"/>
          <w:sz w:val="24"/>
          <w:szCs w:val="24"/>
        </w:rPr>
        <w:t xml:space="preserve"> decem F 80.</w:t>
      </w:r>
    </w:p>
    <w:p w14:paraId="27FD7268" w14:textId="77777777" w:rsidR="008F4FDD" w:rsidRPr="0024431E" w:rsidRDefault="008F4FD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CC73EF6" w14:textId="7F2DC99B" w:rsidR="00075E12" w:rsidRPr="0024431E" w:rsidRDefault="00075E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443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431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r w:rsidRPr="0024431E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24431E">
        <w:rPr>
          <w:rFonts w:ascii="Times New Roman" w:hAnsi="Times New Roman" w:cs="Times New Roman"/>
          <w:sz w:val="24"/>
          <w:szCs w:val="24"/>
        </w:rPr>
        <w:t>babel F 80.</w:t>
      </w:r>
    </w:p>
  </w:footnote>
  <w:footnote w:id="4">
    <w:p w14:paraId="32F618BB" w14:textId="1C398E9F" w:rsidR="0024431E" w:rsidRPr="0024431E" w:rsidRDefault="0024431E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  <w:r w:rsidRPr="0024431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431E">
        <w:rPr>
          <w:rFonts w:ascii="Times New Roman" w:hAnsi="Times New Roman" w:cs="Times New Roman"/>
          <w:sz w:val="24"/>
          <w:szCs w:val="24"/>
        </w:rPr>
        <w:t>cornu ]</w:t>
      </w:r>
      <w:proofErr w:type="gram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r w:rsidRPr="0024431E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24431E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fures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ventilat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operarios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excitat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canes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venaticos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31E">
        <w:rPr>
          <w:rFonts w:ascii="Times New Roman" w:hAnsi="Times New Roman" w:cs="Times New Roman"/>
          <w:sz w:val="24"/>
          <w:szCs w:val="24"/>
        </w:rPr>
        <w:t>rectificat</w:t>
      </w:r>
      <w:proofErr w:type="spellEnd"/>
      <w:r w:rsidRPr="0024431E">
        <w:rPr>
          <w:rFonts w:ascii="Times New Roman" w:hAnsi="Times New Roman" w:cs="Times New Roman"/>
          <w:sz w:val="24"/>
          <w:szCs w:val="24"/>
        </w:rPr>
        <w:t xml:space="preserve"> F 128.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45"/>
    <w:rsid w:val="000020DC"/>
    <w:rsid w:val="00031245"/>
    <w:rsid w:val="00075E12"/>
    <w:rsid w:val="00131425"/>
    <w:rsid w:val="001C254A"/>
    <w:rsid w:val="0024431E"/>
    <w:rsid w:val="00264AFF"/>
    <w:rsid w:val="003E2C6D"/>
    <w:rsid w:val="003F7E6C"/>
    <w:rsid w:val="00421D40"/>
    <w:rsid w:val="00433B90"/>
    <w:rsid w:val="00495353"/>
    <w:rsid w:val="005273FE"/>
    <w:rsid w:val="0060075B"/>
    <w:rsid w:val="00615F76"/>
    <w:rsid w:val="00744801"/>
    <w:rsid w:val="008665EC"/>
    <w:rsid w:val="008E3C78"/>
    <w:rsid w:val="008F4FDD"/>
    <w:rsid w:val="009D1133"/>
    <w:rsid w:val="009E3723"/>
    <w:rsid w:val="00AA0C32"/>
    <w:rsid w:val="00B32FE3"/>
    <w:rsid w:val="00C34642"/>
    <w:rsid w:val="00C73AE3"/>
    <w:rsid w:val="00CE7883"/>
    <w:rsid w:val="00D41B04"/>
    <w:rsid w:val="00D60AF7"/>
    <w:rsid w:val="00D81E2D"/>
    <w:rsid w:val="00E80AC1"/>
    <w:rsid w:val="00E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B65D"/>
  <w15:chartTrackingRefBased/>
  <w15:docId w15:val="{A2386A73-1607-42B5-A67F-565869CA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4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0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0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0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F7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F76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15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5583-9727-4940-974E-87836B4D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2024-08-03T18:52:00Z</dcterms:created>
  <dcterms:modified xsi:type="dcterms:W3CDTF">2024-08-03T19:02:00Z</dcterms:modified>
</cp:coreProperties>
</file>