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C7732" w14:textId="5C9CD1B9" w:rsidR="00433B90" w:rsidRPr="00DE33BE" w:rsidRDefault="009E7D9B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33B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DE33B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D022766" w14:textId="386EC931" w:rsidR="009E7D9B" w:rsidRPr="00DE33BE" w:rsidRDefault="009E7D9B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33BE">
        <w:rPr>
          <w:rFonts w:ascii="Times New Roman" w:hAnsi="Times New Roman" w:cs="Times New Roman"/>
          <w:sz w:val="24"/>
          <w:szCs w:val="24"/>
        </w:rPr>
        <w:t xml:space="preserve">246 </w:t>
      </w:r>
      <w:proofErr w:type="spellStart"/>
      <w:r w:rsidRPr="00DE33BE">
        <w:rPr>
          <w:rFonts w:ascii="Times New Roman" w:hAnsi="Times New Roman" w:cs="Times New Roman"/>
          <w:sz w:val="24"/>
          <w:szCs w:val="24"/>
        </w:rPr>
        <w:t>Tabernaculum</w:t>
      </w:r>
      <w:proofErr w:type="spellEnd"/>
    </w:p>
    <w:p w14:paraId="726619C2" w14:textId="77777777" w:rsidR="008B7C44" w:rsidRDefault="009E7D9B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33BE">
        <w:rPr>
          <w:rFonts w:ascii="Times New Roman" w:hAnsi="Times New Roman" w:cs="Times New Roman"/>
          <w:sz w:val="24"/>
          <w:szCs w:val="24"/>
        </w:rPr>
        <w:t>Tabernaculum</w:t>
      </w:r>
      <w:proofErr w:type="spellEnd"/>
      <w:r w:rsidRPr="00DE3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3B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DE33BE">
        <w:rPr>
          <w:rFonts w:ascii="Times New Roman" w:hAnsi="Times New Roman" w:cs="Times New Roman"/>
          <w:sz w:val="24"/>
          <w:szCs w:val="24"/>
        </w:rPr>
        <w:t xml:space="preserve"> </w:t>
      </w:r>
      <w:r w:rsidR="00165DEB" w:rsidRPr="00DE33BE">
        <w:rPr>
          <w:rFonts w:ascii="Times New Roman" w:hAnsi="Times New Roman" w:cs="Times New Roman"/>
          <w:sz w:val="24"/>
          <w:szCs w:val="24"/>
        </w:rPr>
        <w:t>prius ecclesia que</w:t>
      </w:r>
      <w:r w:rsidR="008B7C44">
        <w:rPr>
          <w:rFonts w:ascii="Times New Roman" w:hAnsi="Times New Roman" w:cs="Times New Roman"/>
          <w:sz w:val="24"/>
          <w:szCs w:val="24"/>
        </w:rPr>
        <w:t xml:space="preserve"> </w:t>
      </w:r>
      <w:r w:rsidR="00165DEB" w:rsidRPr="00DE33BE">
        <w:rPr>
          <w:rFonts w:ascii="Times New Roman" w:hAnsi="Times New Roman" w:cs="Times New Roman"/>
          <w:sz w:val="24"/>
          <w:szCs w:val="24"/>
        </w:rPr>
        <w:t xml:space="preserve">in omnibus </w:t>
      </w:r>
      <w:proofErr w:type="spellStart"/>
      <w:r w:rsidR="00165DEB" w:rsidRPr="00DE33BE">
        <w:rPr>
          <w:rFonts w:ascii="Times New Roman" w:hAnsi="Times New Roman" w:cs="Times New Roman"/>
          <w:sz w:val="24"/>
          <w:szCs w:val="24"/>
        </w:rPr>
        <w:t>particularibus</w:t>
      </w:r>
      <w:proofErr w:type="spellEnd"/>
      <w:r w:rsidR="00165DEB" w:rsidRPr="00DE3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DEB" w:rsidRPr="00DE33BE">
        <w:rPr>
          <w:rFonts w:ascii="Times New Roman" w:hAnsi="Times New Roman" w:cs="Times New Roman"/>
          <w:sz w:val="24"/>
          <w:szCs w:val="24"/>
        </w:rPr>
        <w:t>ecclesiis</w:t>
      </w:r>
      <w:proofErr w:type="spellEnd"/>
      <w:r w:rsidR="00165DEB" w:rsidRPr="00DE3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DEB" w:rsidRPr="00DE33B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65DEB" w:rsidRPr="00DE3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DEB" w:rsidRPr="00DE33BE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165DEB" w:rsidRPr="00DE33BE">
        <w:rPr>
          <w:rFonts w:ascii="Times New Roman" w:hAnsi="Times New Roman" w:cs="Times New Roman"/>
          <w:sz w:val="24"/>
          <w:szCs w:val="24"/>
        </w:rPr>
        <w:t>.</w:t>
      </w:r>
      <w:r w:rsidR="008B7C44">
        <w:rPr>
          <w:rFonts w:ascii="Times New Roman" w:hAnsi="Times New Roman" w:cs="Times New Roman"/>
          <w:sz w:val="24"/>
          <w:szCs w:val="24"/>
        </w:rPr>
        <w:t xml:space="preserve"> </w:t>
      </w:r>
      <w:r w:rsidR="00DE33BE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="00DE33B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DE3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tabernaculum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militancium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peregrinancium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vigilancium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tabernaculis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habitant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viatores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pastores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sic ecclesia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militat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laicis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secularibus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peregrinatur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clericis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re</w:t>
      </w:r>
      <w:r w:rsidR="00DE33BE">
        <w:rPr>
          <w:rFonts w:ascii="Times New Roman" w:hAnsi="Times New Roman" w:cs="Times New Roman"/>
          <w:sz w:val="24"/>
          <w:szCs w:val="24"/>
        </w:rPr>
        <w:t>gularibus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vigilat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prelatis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DE33B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pastoribus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. De primo, Can. 1[:4]: </w:t>
      </w:r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Nigra sum, sed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formosa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, sicut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tabernacula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 Cedar</w:t>
      </w:r>
      <w:r w:rsidR="00DE33BE" w:rsidRPr="00707DF7">
        <w:rPr>
          <w:rFonts w:ascii="Times New Roman" w:hAnsi="Times New Roman" w:cs="Times New Roman"/>
          <w:sz w:val="24"/>
          <w:szCs w:val="24"/>
        </w:rPr>
        <w:t xml:space="preserve">. Nigra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labores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fuscata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formosa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CE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E5CE9">
        <w:rPr>
          <w:rFonts w:ascii="Times New Roman" w:hAnsi="Times New Roman" w:cs="Times New Roman"/>
          <w:sz w:val="24"/>
          <w:szCs w:val="24"/>
        </w:rPr>
        <w:t xml:space="preserve"> </w:t>
      </w:r>
      <w:r w:rsidR="00DE33BE" w:rsidRPr="00707DF7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puritatem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ymagini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reformata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758512" w14:textId="77777777" w:rsidR="008B7C44" w:rsidRDefault="002E5CE9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DE33BE" w:rsidRPr="00707DF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="00DE33BE" w:rsidRPr="00707D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="00DE33BE" w:rsidRPr="00707DF7">
        <w:rPr>
          <w:rFonts w:ascii="Times New Roman" w:hAnsi="Times New Roman" w:cs="Times New Roman"/>
          <w:sz w:val="24"/>
          <w:szCs w:val="24"/>
        </w:rPr>
        <w:t xml:space="preserve"> Cor. 5[:4]: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Qua</w:t>
      </w:r>
      <w:r>
        <w:rPr>
          <w:rFonts w:ascii="Times New Roman" w:hAnsi="Times New Roman" w:cs="Times New Roman"/>
          <w:sz w:val="24"/>
          <w:szCs w:val="24"/>
        </w:rPr>
        <w:t>mdiu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simus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in hoc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tabernaculo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ingemiscimus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gravati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nolumus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expoliari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supervestiri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absorbeatur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mortale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DE33BE" w:rsidRPr="00707DF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913F0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DE33BE" w:rsidRPr="00707DF7">
        <w:rPr>
          <w:rFonts w:ascii="Times New Roman" w:hAnsi="Times New Roman" w:cs="Times New Roman"/>
          <w:i/>
          <w:sz w:val="24"/>
          <w:szCs w:val="24"/>
        </w:rPr>
        <w:t>vita</w:t>
      </w:r>
      <w:r w:rsidR="00DE33BE" w:rsidRPr="00707D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Gemit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 peregrinus ex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incomodis</w:t>
      </w:r>
      <w:proofErr w:type="spellEnd"/>
      <w:r w:rsidR="008B7C44">
        <w:rPr>
          <w:rFonts w:ascii="Times New Roman" w:hAnsi="Times New Roman" w:cs="Times New Roman"/>
          <w:sz w:val="24"/>
          <w:szCs w:val="24"/>
        </w:rPr>
        <w:t xml:space="preserve"> </w:t>
      </w:r>
      <w:r w:rsidR="000913F0">
        <w:rPr>
          <w:rFonts w:ascii="Times New Roman" w:hAnsi="Times New Roman" w:cs="Times New Roman"/>
          <w:sz w:val="24"/>
          <w:szCs w:val="24"/>
        </w:rPr>
        <w:t xml:space="preserve">vie ex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dilacione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patrie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ferens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secum</w:t>
      </w:r>
      <w:proofErr w:type="spellEnd"/>
      <w:r w:rsidR="008B7C44">
        <w:rPr>
          <w:rFonts w:ascii="Times New Roman" w:hAnsi="Times New Roman" w:cs="Times New Roman"/>
          <w:sz w:val="24"/>
          <w:szCs w:val="24"/>
        </w:rPr>
        <w:t xml:space="preserve"> </w:t>
      </w:r>
      <w:r w:rsidR="000913F0">
        <w:rPr>
          <w:rFonts w:ascii="Times New Roman" w:hAnsi="Times New Roman" w:cs="Times New Roman"/>
          <w:sz w:val="24"/>
          <w:szCs w:val="24"/>
        </w:rPr>
        <w:t xml:space="preserve">nisi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necessariam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3F0">
        <w:rPr>
          <w:rFonts w:ascii="Times New Roman" w:hAnsi="Times New Roman" w:cs="Times New Roman"/>
          <w:sz w:val="24"/>
          <w:szCs w:val="24"/>
        </w:rPr>
        <w:t>vsum</w:t>
      </w:r>
      <w:proofErr w:type="spellEnd"/>
      <w:r w:rsidR="000913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Gemit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clericus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pars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hereditatis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solus Deus.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Gemit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religiosus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abjecto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sentit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in se motus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contrarios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trahat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deorsum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corrumpcione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, spiritus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tendat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 sursum ex </w:t>
      </w:r>
      <w:proofErr w:type="spellStart"/>
      <w:r w:rsidR="00DE33BE" w:rsidRPr="00707DF7">
        <w:rPr>
          <w:rFonts w:ascii="Times New Roman" w:hAnsi="Times New Roman" w:cs="Times New Roman"/>
          <w:sz w:val="24"/>
          <w:szCs w:val="24"/>
        </w:rPr>
        <w:t>deuocione</w:t>
      </w:r>
      <w:proofErr w:type="spellEnd"/>
      <w:r w:rsidR="00DE33BE" w:rsidRPr="00707D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A40609" w14:textId="7C884289" w:rsidR="008B7C44" w:rsidRDefault="00DE33BE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7DF7">
        <w:rPr>
          <w:rFonts w:ascii="Times New Roman" w:hAnsi="Times New Roman" w:cs="Times New Roman"/>
          <w:sz w:val="24"/>
          <w:szCs w:val="24"/>
        </w:rPr>
        <w:t>¶ De tercio, Job 39[:</w:t>
      </w:r>
      <w:r w:rsidR="00836E94">
        <w:rPr>
          <w:rFonts w:ascii="Times New Roman" w:hAnsi="Times New Roman" w:cs="Times New Roman"/>
          <w:sz w:val="24"/>
          <w:szCs w:val="24"/>
        </w:rPr>
        <w:t>5-</w:t>
      </w:r>
      <w:r w:rsidRPr="00707DF7">
        <w:rPr>
          <w:rFonts w:ascii="Times New Roman" w:hAnsi="Times New Roman" w:cs="Times New Roman"/>
          <w:sz w:val="24"/>
          <w:szCs w:val="24"/>
        </w:rPr>
        <w:t xml:space="preserve">6]: Cui </w:t>
      </w:r>
      <w:proofErr w:type="spellStart"/>
      <w:r w:rsidRPr="00707DF7">
        <w:rPr>
          <w:rFonts w:ascii="Times New Roman" w:hAnsi="Times New Roman" w:cs="Times New Roman"/>
          <w:i/>
          <w:sz w:val="24"/>
          <w:szCs w:val="24"/>
        </w:rPr>
        <w:t>dedi</w:t>
      </w:r>
      <w:proofErr w:type="spellEnd"/>
      <w:r w:rsidRPr="00707DF7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07DF7">
        <w:rPr>
          <w:rFonts w:ascii="Times New Roman" w:hAnsi="Times New Roman" w:cs="Times New Roman"/>
          <w:i/>
          <w:sz w:val="24"/>
          <w:szCs w:val="24"/>
        </w:rPr>
        <w:t>solitudine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locum, </w:t>
      </w:r>
      <w:r w:rsidRPr="00707DF7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707DF7">
        <w:rPr>
          <w:rFonts w:ascii="Times New Roman" w:hAnsi="Times New Roman" w:cs="Times New Roman"/>
          <w:i/>
          <w:sz w:val="24"/>
          <w:szCs w:val="24"/>
        </w:rPr>
        <w:t>tabernacula</w:t>
      </w:r>
      <w:proofErr w:type="spellEnd"/>
      <w:r w:rsidRPr="00707DF7">
        <w:rPr>
          <w:rFonts w:ascii="Times New Roman" w:hAnsi="Times New Roman" w:cs="Times New Roman"/>
          <w:i/>
          <w:sz w:val="24"/>
          <w:szCs w:val="24"/>
        </w:rPr>
        <w:t xml:space="preserve"> in terra </w:t>
      </w:r>
      <w:proofErr w:type="spellStart"/>
      <w:r w:rsidRPr="00707DF7">
        <w:rPr>
          <w:rFonts w:ascii="Times New Roman" w:hAnsi="Times New Roman" w:cs="Times New Roman"/>
          <w:i/>
          <w:sz w:val="24"/>
          <w:szCs w:val="24"/>
        </w:rPr>
        <w:t>salsuginis</w:t>
      </w:r>
      <w:proofErr w:type="spellEnd"/>
      <w:r w:rsidR="00836E94">
        <w:rPr>
          <w:rFonts w:ascii="Times New Roman" w:hAnsi="Times New Roman" w:cs="Times New Roman"/>
          <w:sz w:val="24"/>
          <w:szCs w:val="24"/>
        </w:rPr>
        <w:t xml:space="preserve">, et in monte </w:t>
      </w:r>
      <w:proofErr w:type="spellStart"/>
      <w:r w:rsidR="00836E94">
        <w:rPr>
          <w:rFonts w:ascii="Times New Roman" w:hAnsi="Times New Roman" w:cs="Times New Roman"/>
          <w:sz w:val="24"/>
          <w:szCs w:val="24"/>
        </w:rPr>
        <w:t>solitudinis</w:t>
      </w:r>
      <w:proofErr w:type="spellEnd"/>
      <w:r w:rsidR="00836E94">
        <w:rPr>
          <w:rFonts w:ascii="Times New Roman" w:hAnsi="Times New Roman" w:cs="Times New Roman"/>
          <w:sz w:val="24"/>
          <w:szCs w:val="24"/>
        </w:rPr>
        <w:t>.</w:t>
      </w:r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onager, id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prelatus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manet in loco soli</w:t>
      </w:r>
      <w:r w:rsidR="008B7C44">
        <w:rPr>
          <w:rFonts w:ascii="Times New Roman" w:hAnsi="Times New Roman" w:cs="Times New Roman"/>
          <w:sz w:val="24"/>
          <w:szCs w:val="24"/>
        </w:rPr>
        <w:t>-</w:t>
      </w:r>
    </w:p>
    <w:p w14:paraId="37E78028" w14:textId="78A01DCC" w:rsidR="00836E94" w:rsidRDefault="00836E94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306va/</w:t>
      </w:r>
    </w:p>
    <w:p w14:paraId="0F946A82" w14:textId="77777777" w:rsidR="008B7C44" w:rsidRDefault="00DE33BE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7DF7">
        <w:rPr>
          <w:rFonts w:ascii="Times New Roman" w:hAnsi="Times New Roman" w:cs="Times New Roman"/>
          <w:sz w:val="24"/>
          <w:szCs w:val="24"/>
        </w:rPr>
        <w:t>tudinis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singulari</w:t>
      </w:r>
      <w:proofErr w:type="spellEnd"/>
      <w:r w:rsidR="00836E94">
        <w:rPr>
          <w:rFonts w:ascii="Times New Roman" w:hAnsi="Times New Roman" w:cs="Times New Roman"/>
          <w:sz w:val="24"/>
          <w:szCs w:val="24"/>
        </w:rPr>
        <w:t>.</w:t>
      </w:r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836E94">
        <w:rPr>
          <w:rFonts w:ascii="Times New Roman" w:hAnsi="Times New Roman" w:cs="Times New Roman"/>
          <w:sz w:val="24"/>
          <w:szCs w:val="24"/>
        </w:rPr>
        <w:t>I</w:t>
      </w:r>
      <w:r w:rsidRPr="00707DF7">
        <w:rPr>
          <w:rFonts w:ascii="Times New Roman" w:hAnsi="Times New Roman" w:cs="Times New Roman"/>
          <w:sz w:val="24"/>
          <w:szCs w:val="24"/>
        </w:rPr>
        <w:t xml:space="preserve">n terra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salsuginis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feruenti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, et in monte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solitudinis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r w:rsidR="00836E94">
        <w:rPr>
          <w:rFonts w:ascii="Times New Roman" w:hAnsi="Times New Roman" w:cs="Times New Roman"/>
          <w:sz w:val="24"/>
          <w:szCs w:val="24"/>
        </w:rPr>
        <w:t>ex</w:t>
      </w:r>
      <w:r w:rsidR="008B7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94">
        <w:rPr>
          <w:rFonts w:ascii="Times New Roman" w:hAnsi="Times New Roman" w:cs="Times New Roman"/>
          <w:sz w:val="24"/>
          <w:szCs w:val="24"/>
        </w:rPr>
        <w:t>subditorum</w:t>
      </w:r>
      <w:proofErr w:type="spellEnd"/>
      <w:r w:rsidR="00836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E94">
        <w:rPr>
          <w:rFonts w:ascii="Times New Roman" w:hAnsi="Times New Roman" w:cs="Times New Roman"/>
          <w:sz w:val="24"/>
          <w:szCs w:val="24"/>
        </w:rPr>
        <w:t>informacione</w:t>
      </w:r>
      <w:proofErr w:type="spellEnd"/>
      <w:r w:rsidR="00836E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5C593" w14:textId="4A373D18" w:rsidR="00836E94" w:rsidRPr="00707DF7" w:rsidRDefault="00836E94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legimus</w:t>
      </w:r>
      <w:proofErr w:type="spellEnd"/>
      <w:r w:rsidR="008B7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tabernaculo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edificabatur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Moyse.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allegorico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, scilicet, ecclesia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militante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tropologico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, scilicet, de anima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peregrinante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anagogico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, scilicet, de ecclesia </w:t>
      </w:r>
      <w:proofErr w:type="spellStart"/>
      <w:r w:rsidRPr="00707DF7">
        <w:rPr>
          <w:rFonts w:ascii="Times New Roman" w:hAnsi="Times New Roman" w:cs="Times New Roman"/>
          <w:sz w:val="24"/>
          <w:szCs w:val="24"/>
        </w:rPr>
        <w:t>triumphante</w:t>
      </w:r>
      <w:proofErr w:type="spellEnd"/>
      <w:r w:rsidRPr="00707D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FAB4B" w14:textId="77777777" w:rsidR="00836E94" w:rsidRDefault="00836E94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3491F28" w14:textId="77777777" w:rsidR="00836E94" w:rsidRDefault="00836E94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7ECDC35" w14:textId="77777777" w:rsidR="00DE33BE" w:rsidRPr="00DE33BE" w:rsidRDefault="00DE33BE" w:rsidP="008B7C4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E33BE" w:rsidRPr="00DE33BE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E786" w14:textId="77777777" w:rsidR="00836E94" w:rsidRDefault="00836E94" w:rsidP="00836E94">
      <w:pPr>
        <w:spacing w:after="0" w:line="240" w:lineRule="auto"/>
      </w:pPr>
      <w:r>
        <w:separator/>
      </w:r>
    </w:p>
  </w:endnote>
  <w:endnote w:type="continuationSeparator" w:id="0">
    <w:p w14:paraId="22C5DA55" w14:textId="77777777" w:rsidR="00836E94" w:rsidRDefault="00836E94" w:rsidP="0083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BF595" w14:textId="77777777" w:rsidR="00836E94" w:rsidRDefault="00836E94" w:rsidP="00836E94">
      <w:pPr>
        <w:spacing w:after="0" w:line="240" w:lineRule="auto"/>
      </w:pPr>
      <w:r>
        <w:separator/>
      </w:r>
    </w:p>
  </w:footnote>
  <w:footnote w:type="continuationSeparator" w:id="0">
    <w:p w14:paraId="0083EAAB" w14:textId="77777777" w:rsidR="00836E94" w:rsidRDefault="00836E94" w:rsidP="00836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9B"/>
    <w:rsid w:val="000913F0"/>
    <w:rsid w:val="00165DEB"/>
    <w:rsid w:val="002E5CE9"/>
    <w:rsid w:val="00433B90"/>
    <w:rsid w:val="005847E9"/>
    <w:rsid w:val="0060075B"/>
    <w:rsid w:val="006A322C"/>
    <w:rsid w:val="006C7AF2"/>
    <w:rsid w:val="00836E94"/>
    <w:rsid w:val="008B7C44"/>
    <w:rsid w:val="008E3C78"/>
    <w:rsid w:val="009E3723"/>
    <w:rsid w:val="009E7D9B"/>
    <w:rsid w:val="00DE33BE"/>
    <w:rsid w:val="00E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4DB4F"/>
  <w15:chartTrackingRefBased/>
  <w15:docId w15:val="{1F28234D-E129-4BBC-8FC6-5E81A33B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7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7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7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D9B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6E9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6E94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836E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2024-08-03T18:11:00Z</dcterms:created>
  <dcterms:modified xsi:type="dcterms:W3CDTF">2024-08-03T18:17:00Z</dcterms:modified>
</cp:coreProperties>
</file>