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0989" w14:textId="5A978B73" w:rsidR="00433B90" w:rsidRPr="00A2403B" w:rsidRDefault="00A2403B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03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304EBFF" w14:textId="53DD8568" w:rsidR="00A2403B" w:rsidRPr="00A2403B" w:rsidRDefault="00A2403B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03B">
        <w:rPr>
          <w:rFonts w:ascii="Times New Roman" w:hAnsi="Times New Roman" w:cs="Times New Roman"/>
          <w:sz w:val="24"/>
          <w:szCs w:val="24"/>
        </w:rPr>
        <w:t>242 Sol</w:t>
      </w:r>
      <w:r w:rsidR="003F7306">
        <w:rPr>
          <w:rFonts w:ascii="Times New Roman" w:hAnsi="Times New Roman" w:cs="Times New Roman"/>
          <w:sz w:val="24"/>
          <w:szCs w:val="24"/>
        </w:rPr>
        <w:t>.</w:t>
      </w:r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r w:rsidR="003F7306">
        <w:rPr>
          <w:rFonts w:ascii="Times New Roman" w:hAnsi="Times New Roman" w:cs="Times New Roman"/>
          <w:sz w:val="24"/>
          <w:szCs w:val="24"/>
        </w:rPr>
        <w:t>I</w:t>
      </w:r>
      <w:r w:rsidRPr="00A2403B">
        <w:rPr>
          <w:rFonts w:ascii="Times New Roman" w:hAnsi="Times New Roman" w:cs="Times New Roman"/>
          <w:sz w:val="24"/>
          <w:szCs w:val="24"/>
        </w:rPr>
        <w:t>n sole notatur</w:t>
      </w:r>
    </w:p>
    <w:p w14:paraId="28FABA4F" w14:textId="77777777" w:rsidR="00427F63" w:rsidRDefault="00A2403B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03B">
        <w:rPr>
          <w:rFonts w:ascii="Times New Roman" w:hAnsi="Times New Roman" w:cs="Times New Roman"/>
          <w:sz w:val="24"/>
          <w:szCs w:val="24"/>
        </w:rPr>
        <w:t>Sol.</w:t>
      </w:r>
      <w:r w:rsidR="0075147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2403B">
        <w:rPr>
          <w:rFonts w:ascii="Times New Roman" w:hAnsi="Times New Roman" w:cs="Times New Roman"/>
          <w:sz w:val="24"/>
          <w:szCs w:val="24"/>
        </w:rPr>
        <w:t xml:space="preserve"> In sole notatur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nobilitas</w:t>
      </w:r>
      <w:proofErr w:type="spellEnd"/>
      <w:r w:rsidR="0042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conditionis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403B">
        <w:rPr>
          <w:rFonts w:ascii="Times New Roman" w:hAnsi="Times New Roman" w:cs="Times New Roman"/>
          <w:sz w:val="24"/>
          <w:szCs w:val="24"/>
        </w:rPr>
        <w:t xml:space="preserve">ecundum hoc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designare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Christum ratione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multiplicis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virtutis huic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>espon</w:t>
      </w:r>
      <w:r w:rsidRPr="00A2403B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Est sol inter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sidera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lucidior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calidior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vtilior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De primo, sol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quasi solus lucens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Dionisium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cetere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stelle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mutuant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403B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a Christo, Eccli. 42[:16]: </w:t>
      </w:r>
      <w:r w:rsidRPr="00A2403B">
        <w:rPr>
          <w:rFonts w:ascii="Times New Roman" w:hAnsi="Times New Roman" w:cs="Times New Roman"/>
          <w:i/>
          <w:sz w:val="24"/>
          <w:szCs w:val="24"/>
        </w:rPr>
        <w:t xml:space="preserve">Sol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illuminans</w:t>
      </w:r>
      <w:proofErr w:type="spellEnd"/>
      <w:r w:rsidRPr="00A2403B">
        <w:rPr>
          <w:rFonts w:ascii="Times New Roman" w:hAnsi="Times New Roman" w:cs="Times New Roman"/>
          <w:i/>
          <w:sz w:val="24"/>
          <w:szCs w:val="24"/>
        </w:rPr>
        <w:t xml:space="preserve"> per omnia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Vere sol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attulit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cecitatem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intulit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ad hoc</w:t>
      </w:r>
      <w:r>
        <w:rPr>
          <w:rFonts w:ascii="Times New Roman" w:hAnsi="Times New Roman" w:cs="Times New Roman"/>
          <w:sz w:val="24"/>
          <w:szCs w:val="24"/>
        </w:rPr>
        <w:t xml:space="preserve"> [1] Reg. 11[:2]</w:t>
      </w:r>
      <w:r w:rsidRPr="00A2403B">
        <w:rPr>
          <w:rFonts w:ascii="Times New Roman" w:hAnsi="Times New Roman" w:cs="Times New Roman"/>
          <w:sz w:val="24"/>
          <w:szCs w:val="24"/>
        </w:rPr>
        <w:t xml:space="preserve"> de Naas Ammonite</w:t>
      </w:r>
      <w:r w:rsidR="00D5216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2403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164" w:rsidRPr="00A2403B">
        <w:rPr>
          <w:rFonts w:ascii="Times New Roman" w:hAnsi="Times New Roman" w:cs="Times New Roman"/>
          <w:sz w:val="24"/>
          <w:szCs w:val="24"/>
        </w:rPr>
        <w:t>inire</w:t>
      </w:r>
      <w:proofErr w:type="spellEnd"/>
      <w:r w:rsidR="00D52164"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fedus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Israel nisi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erueret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47A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Pr="007514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47A">
        <w:rPr>
          <w:rFonts w:ascii="Times New Roman" w:hAnsi="Times New Roman" w:cs="Times New Roman"/>
          <w:i/>
          <w:iCs/>
          <w:sz w:val="24"/>
          <w:szCs w:val="24"/>
        </w:rPr>
        <w:t>dextros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3F058" w14:textId="35CA2FCF" w:rsidR="00D52164" w:rsidRDefault="00A2403B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03B">
        <w:rPr>
          <w:rFonts w:ascii="Times New Roman" w:hAnsi="Times New Roman" w:cs="Times New Roman"/>
          <w:sz w:val="24"/>
          <w:szCs w:val="24"/>
        </w:rPr>
        <w:t xml:space="preserve">¶ Item, sol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calidior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sic Christus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attingens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corda nostra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B966" w14:textId="78D2C7C6" w:rsidR="00D52164" w:rsidRDefault="00D52164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304rb/</w:t>
      </w:r>
    </w:p>
    <w:p w14:paraId="59A6A93D" w14:textId="77777777" w:rsidR="00427F63" w:rsidRDefault="00A2403B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403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calere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Jac. 1[:11]: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Exortus</w:t>
      </w:r>
      <w:proofErr w:type="spellEnd"/>
      <w:r w:rsidRPr="00A24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2403B">
        <w:rPr>
          <w:rFonts w:ascii="Times New Roman" w:hAnsi="Times New Roman" w:cs="Times New Roman"/>
          <w:i/>
          <w:sz w:val="24"/>
          <w:szCs w:val="24"/>
        </w:rPr>
        <w:t xml:space="preserve"> sol cum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ardore</w:t>
      </w:r>
      <w:proofErr w:type="spellEnd"/>
      <w:r w:rsidRPr="00A2403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arefecit</w:t>
      </w:r>
      <w:proofErr w:type="spellEnd"/>
      <w:r w:rsidRPr="00A24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i/>
          <w:sz w:val="24"/>
          <w:szCs w:val="24"/>
        </w:rPr>
        <w:t>fœnum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calefecit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vi</w:t>
      </w:r>
      <w:r w:rsidR="00C9721F">
        <w:rPr>
          <w:rFonts w:ascii="Times New Roman" w:hAnsi="Times New Roman" w:cs="Times New Roman"/>
          <w:sz w:val="24"/>
          <w:szCs w:val="24"/>
        </w:rPr>
        <w:t>ui</w:t>
      </w:r>
      <w:r w:rsidRPr="00A2403B">
        <w:rPr>
          <w:rFonts w:ascii="Times New Roman" w:hAnsi="Times New Roman" w:cs="Times New Roman"/>
          <w:sz w:val="24"/>
          <w:szCs w:val="24"/>
        </w:rPr>
        <w:t>ficauit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ad mortem per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arefecit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fenum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carnalitatem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403B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A240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89D15" w14:textId="77777777" w:rsidR="00295131" w:rsidRDefault="00C9721F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Tercio, sol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vtilior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 xml:space="preserve">am sine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non germinant terre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nascencia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sine Christo bonum in anima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vepres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spine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Psal. [103:20]: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Facta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nox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scilicet, in anima, </w:t>
      </w:r>
      <w:r>
        <w:rPr>
          <w:rFonts w:ascii="Times New Roman" w:hAnsi="Times New Roman" w:cs="Times New Roman"/>
          <w:iCs/>
          <w:sz w:val="24"/>
          <w:szCs w:val="24"/>
        </w:rPr>
        <w:t>et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ipsa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pertransibunt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omnes bestie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vastia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vastancia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sed sequitur [Psal. 103:22-23]: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Ortus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sol,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exibit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homo ad opus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lucente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Christo</w:t>
      </w:r>
      <w:r w:rsidR="00C54289">
        <w:rPr>
          <w:rFonts w:ascii="Times New Roman" w:hAnsi="Times New Roman" w:cs="Times New Roman"/>
          <w:sz w:val="24"/>
          <w:szCs w:val="24"/>
        </w:rPr>
        <w:t xml:space="preserve"> in anima</w:t>
      </w:r>
      <w:r w:rsidRPr="008D3BF2">
        <w:rPr>
          <w:rFonts w:ascii="Times New Roman" w:hAnsi="Times New Roman" w:cs="Times New Roman"/>
          <w:sz w:val="24"/>
          <w:szCs w:val="24"/>
        </w:rPr>
        <w:t xml:space="preserve"> h</w:t>
      </w:r>
      <w:r w:rsidR="00C54289">
        <w:rPr>
          <w:rFonts w:ascii="Times New Roman" w:hAnsi="Times New Roman" w:cs="Times New Roman"/>
          <w:sz w:val="24"/>
          <w:szCs w:val="24"/>
        </w:rPr>
        <w:t>ab</w:t>
      </w:r>
      <w:r w:rsidRPr="008D3BF2">
        <w:rPr>
          <w:rFonts w:ascii="Times New Roman" w:hAnsi="Times New Roman" w:cs="Times New Roman"/>
          <w:sz w:val="24"/>
          <w:szCs w:val="24"/>
        </w:rPr>
        <w:t xml:space="preserve">ilis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homo ad bene operandum. </w:t>
      </w:r>
    </w:p>
    <w:p w14:paraId="21AE9A6A" w14:textId="77777777" w:rsidR="00295131" w:rsidRDefault="00C9721F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="00C54289">
        <w:rPr>
          <w:rFonts w:ascii="Times New Roman" w:hAnsi="Times New Roman" w:cs="Times New Roman"/>
          <w:sz w:val="24"/>
          <w:szCs w:val="24"/>
        </w:rPr>
        <w:t>L</w:t>
      </w:r>
      <w:r w:rsidRPr="008D3BF2">
        <w:rPr>
          <w:rFonts w:ascii="Times New Roman" w:hAnsi="Times New Roman" w:cs="Times New Roman"/>
          <w:sz w:val="24"/>
          <w:szCs w:val="24"/>
        </w:rPr>
        <w:t>egimus</w:t>
      </w:r>
      <w:proofErr w:type="spellEnd"/>
      <w:r w:rsidR="00C5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289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="00C5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289">
        <w:rPr>
          <w:rFonts w:ascii="Times New Roman" w:hAnsi="Times New Roman" w:cs="Times New Roman"/>
          <w:sz w:val="24"/>
          <w:szCs w:val="24"/>
        </w:rPr>
        <w:t>materialem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incaluisse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ad populi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saluacionem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417A86">
        <w:rPr>
          <w:rFonts w:ascii="Times New Roman" w:hAnsi="Times New Roman" w:cs="Times New Roman"/>
          <w:sz w:val="24"/>
          <w:szCs w:val="24"/>
        </w:rPr>
        <w:t>[</w:t>
      </w:r>
      <w:r w:rsidRPr="008D3BF2">
        <w:rPr>
          <w:rFonts w:ascii="Times New Roman" w:hAnsi="Times New Roman" w:cs="Times New Roman"/>
          <w:sz w:val="24"/>
          <w:szCs w:val="24"/>
        </w:rPr>
        <w:t>1</w:t>
      </w:r>
      <w:r w:rsidR="00417A86">
        <w:rPr>
          <w:rFonts w:ascii="Times New Roman" w:hAnsi="Times New Roman" w:cs="Times New Roman"/>
          <w:sz w:val="24"/>
          <w:szCs w:val="24"/>
        </w:rPr>
        <w:t>]</w:t>
      </w:r>
      <w:r w:rsidRPr="008D3BF2">
        <w:rPr>
          <w:rFonts w:ascii="Times New Roman" w:hAnsi="Times New Roman" w:cs="Times New Roman"/>
          <w:sz w:val="24"/>
          <w:szCs w:val="24"/>
        </w:rPr>
        <w:t xml:space="preserve"> Reg. 11[:9]</w:t>
      </w:r>
      <w:r w:rsidR="00C54289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C54289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 xml:space="preserve">ic Christus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fundendo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stetisse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diei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prolongionem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Jos. 10[:13]. Per diem notatur tempus operandi, Joan. 9[:4]: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oportet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operari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opera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misit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me,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dies </w:t>
      </w:r>
      <w:r w:rsidR="00C54289" w:rsidRPr="00C54289">
        <w:rPr>
          <w:rFonts w:ascii="Times New Roman" w:hAnsi="Times New Roman" w:cs="Times New Roman"/>
          <w:iCs/>
          <w:sz w:val="24"/>
          <w:szCs w:val="24"/>
        </w:rPr>
        <w:t>eius</w:t>
      </w:r>
      <w:r w:rsidR="00C54289">
        <w:rPr>
          <w:rFonts w:ascii="Times New Roman" w:hAnsi="Times New Roman" w:cs="Times New Roman"/>
          <w:i/>
          <w:sz w:val="24"/>
          <w:szCs w:val="24"/>
        </w:rPr>
        <w:t>,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nox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nemo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operari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stetit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ad finem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C54289">
        <w:rPr>
          <w:rFonts w:ascii="Times New Roman" w:hAnsi="Times New Roman" w:cs="Times New Roman"/>
          <w:sz w:val="24"/>
          <w:szCs w:val="24"/>
        </w:rPr>
        <w:t>[</w:t>
      </w:r>
      <w:r w:rsidRPr="008D3BF2">
        <w:rPr>
          <w:rFonts w:ascii="Times New Roman" w:hAnsi="Times New Roman" w:cs="Times New Roman"/>
          <w:sz w:val="24"/>
          <w:szCs w:val="24"/>
        </w:rPr>
        <w:t>3</w:t>
      </w:r>
      <w:r w:rsidR="00C54289">
        <w:rPr>
          <w:rFonts w:ascii="Times New Roman" w:hAnsi="Times New Roman" w:cs="Times New Roman"/>
          <w:sz w:val="24"/>
          <w:szCs w:val="24"/>
        </w:rPr>
        <w:t>]</w:t>
      </w:r>
      <w:r w:rsidRPr="008D3BF2">
        <w:rPr>
          <w:rFonts w:ascii="Times New Roman" w:hAnsi="Times New Roman" w:cs="Times New Roman"/>
          <w:sz w:val="24"/>
          <w:szCs w:val="24"/>
        </w:rPr>
        <w:t xml:space="preserve"> Reg.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[22:35]: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Rex Israël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stabat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curru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contra S</w:t>
      </w:r>
      <w:r w:rsidR="00417A86">
        <w:rPr>
          <w:rFonts w:ascii="Times New Roman" w:hAnsi="Times New Roman" w:cs="Times New Roman"/>
          <w:i/>
          <w:sz w:val="24"/>
          <w:szCs w:val="24"/>
        </w:rPr>
        <w:t>i</w:t>
      </w:r>
      <w:r w:rsidRPr="008D3BF2">
        <w:rPr>
          <w:rFonts w:ascii="Times New Roman" w:hAnsi="Times New Roman" w:cs="Times New Roman"/>
          <w:i/>
          <w:sz w:val="24"/>
          <w:szCs w:val="24"/>
        </w:rPr>
        <w:t>ros</w:t>
      </w:r>
      <w:r w:rsidRPr="008D3BF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417A8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417A86">
        <w:rPr>
          <w:rFonts w:ascii="Times New Roman" w:hAnsi="Times New Roman" w:cs="Times New Roman"/>
          <w:i/>
          <w:iCs/>
          <w:sz w:val="24"/>
          <w:szCs w:val="24"/>
        </w:rPr>
        <w:t>mortuus</w:t>
      </w:r>
      <w:proofErr w:type="spellEnd"/>
      <w:r w:rsidRPr="00417A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7A8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17A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7A86">
        <w:rPr>
          <w:rFonts w:ascii="Times New Roman" w:hAnsi="Times New Roman" w:cs="Times New Roman"/>
          <w:i/>
          <w:iCs/>
          <w:sz w:val="24"/>
          <w:szCs w:val="24"/>
        </w:rPr>
        <w:t>vespere</w:t>
      </w:r>
      <w:proofErr w:type="spellEnd"/>
      <w:r w:rsidR="00417A86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sanguis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86" w:rsidRPr="00417A86">
        <w:rPr>
          <w:rFonts w:ascii="Times New Roman" w:hAnsi="Times New Roman" w:cs="Times New Roman"/>
          <w:iCs/>
          <w:sz w:val="24"/>
          <w:szCs w:val="24"/>
        </w:rPr>
        <w:t>p</w:t>
      </w:r>
      <w:r w:rsidRPr="00417A86">
        <w:rPr>
          <w:rFonts w:ascii="Times New Roman" w:hAnsi="Times New Roman" w:cs="Times New Roman"/>
          <w:iCs/>
          <w:sz w:val="24"/>
          <w:szCs w:val="24"/>
        </w:rPr>
        <w:t>luebat</w:t>
      </w:r>
      <w:proofErr w:type="spellEnd"/>
      <w:r w:rsidR="00417A86">
        <w:rPr>
          <w:rFonts w:ascii="Times New Roman" w:hAnsi="Times New Roman" w:cs="Times New Roman"/>
          <w:iCs/>
          <w:sz w:val="24"/>
          <w:szCs w:val="24"/>
        </w:rPr>
        <w:t xml:space="preserve"> plage</w:t>
      </w:r>
      <w:r w:rsidRPr="008D3BF2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35561360" w14:textId="77777777" w:rsidR="00295131" w:rsidRDefault="00417A86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Hic nota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sicut in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056916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sed non in medio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056916">
        <w:rPr>
          <w:rFonts w:ascii="Times New Roman" w:hAnsi="Times New Roman" w:cs="Times New Roman"/>
          <w:sz w:val="24"/>
          <w:szCs w:val="24"/>
        </w:rPr>
        <w:t>.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16">
        <w:rPr>
          <w:rFonts w:ascii="Times New Roman" w:hAnsi="Times New Roman" w:cs="Times New Roman"/>
          <w:sz w:val="24"/>
          <w:szCs w:val="24"/>
        </w:rPr>
        <w:t>A</w:t>
      </w:r>
      <w:r w:rsidR="00C9721F" w:rsidRPr="008D3BF2">
        <w:rPr>
          <w:rFonts w:ascii="Times New Roman" w:hAnsi="Times New Roman" w:cs="Times New Roman"/>
          <w:sz w:val="24"/>
          <w:szCs w:val="24"/>
        </w:rPr>
        <w:t>liqui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sunt in medio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r w:rsidR="0005691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stant</w:t>
      </w:r>
      <w:proofErr w:type="spellEnd"/>
      <w:r w:rsidR="000569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medio 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stant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9721F" w:rsidRPr="008D3BF2">
        <w:rPr>
          <w:rFonts w:ascii="Times New Roman" w:hAnsi="Times New Roman" w:cs="Times New Roman"/>
          <w:sz w:val="24"/>
          <w:szCs w:val="24"/>
        </w:rPr>
        <w:t>rimi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ducunt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apparenciam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sed non sunt in medio, id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C9721F" w:rsidRPr="008D3BF2">
        <w:rPr>
          <w:rFonts w:ascii="Times New Roman" w:hAnsi="Times New Roman" w:cs="Times New Roman"/>
          <w:sz w:val="24"/>
          <w:szCs w:val="24"/>
        </w:rPr>
        <w:t>mmo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angulo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E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721F" w:rsidRPr="008D3BF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721F" w:rsidRPr="008D3BF2">
        <w:rPr>
          <w:rFonts w:ascii="Times New Roman" w:hAnsi="Times New Roman" w:cs="Times New Roman"/>
          <w:sz w:val="24"/>
          <w:szCs w:val="24"/>
        </w:rPr>
        <w:t>itati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sed veritas non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angulos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de qu</w:t>
      </w:r>
      <w:r>
        <w:rPr>
          <w:rFonts w:ascii="Times New Roman" w:hAnsi="Times New Roman" w:cs="Times New Roman"/>
          <w:sz w:val="24"/>
          <w:szCs w:val="24"/>
        </w:rPr>
        <w:t>ibus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, Luc. 23[:45]: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Obscuratus</w:t>
      </w:r>
      <w:proofErr w:type="spellEnd"/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sol, et velum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templi</w:t>
      </w:r>
      <w:proofErr w:type="spellEnd"/>
      <w:r w:rsidR="00D116FA" w:rsidRPr="00D116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6FA" w:rsidRPr="008D3BF2">
        <w:rPr>
          <w:rFonts w:ascii="Times New Roman" w:hAnsi="Times New Roman" w:cs="Times New Roman"/>
          <w:i/>
          <w:sz w:val="24"/>
          <w:szCs w:val="24"/>
        </w:rPr>
        <w:t>scissum</w:t>
      </w:r>
      <w:proofErr w:type="spellEnd"/>
      <w:r w:rsidR="00D116FA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6FA"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C9721F" w:rsidRPr="008D3BF2">
        <w:rPr>
          <w:rFonts w:ascii="Times New Roman" w:hAnsi="Times New Roman" w:cs="Times New Roman"/>
          <w:i/>
          <w:sz w:val="24"/>
          <w:szCs w:val="24"/>
        </w:rPr>
        <w:t>medium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. Sol, id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illuminare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inflammare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ex</w:t>
      </w:r>
      <w:r w:rsidR="00C96E39">
        <w:rPr>
          <w:rFonts w:ascii="Times New Roman" w:hAnsi="Times New Roman" w:cs="Times New Roman"/>
          <w:sz w:val="24"/>
          <w:szCs w:val="24"/>
        </w:rPr>
        <w:t>emplo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obscuratus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prauitate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et velum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scissum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in duas partes et in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apparencia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et non</w:t>
      </w:r>
      <w:r w:rsidR="00C96E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existenciam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deorsum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reperiuntur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="00D116FA">
        <w:rPr>
          <w:rFonts w:ascii="Times New Roman" w:hAnsi="Times New Roman" w:cs="Times New Roman"/>
          <w:sz w:val="24"/>
          <w:szCs w:val="24"/>
        </w:rPr>
        <w:t xml:space="preserve"> et inter </w:t>
      </w:r>
      <w:proofErr w:type="spellStart"/>
      <w:r w:rsidR="00D116FA">
        <w:rPr>
          <w:rFonts w:ascii="Times New Roman" w:hAnsi="Times New Roman" w:cs="Times New Roman"/>
          <w:sz w:val="24"/>
          <w:szCs w:val="24"/>
        </w:rPr>
        <w:t>inferiores</w:t>
      </w:r>
      <w:proofErr w:type="spellEnd"/>
      <w:r w:rsidR="00D11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7269D" w14:textId="4689EB70" w:rsidR="00F23202" w:rsidRDefault="00D116FA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721F" w:rsidRPr="008D3BF2">
        <w:rPr>
          <w:rFonts w:ascii="Times New Roman" w:hAnsi="Times New Roman" w:cs="Times New Roman"/>
          <w:sz w:val="24"/>
          <w:szCs w:val="24"/>
        </w:rPr>
        <w:t>lii sunt in medio</w:t>
      </w:r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sunt in magna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in magna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ordinatam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721F" w:rsidRPr="008D3BF2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721F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6E39"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idem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agentes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ostendentes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ed in magna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incipiunt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erigi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frangi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turbari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perturbari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sic non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perseuerant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, Amos 8[:9]: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Occidet</w:t>
      </w:r>
      <w:proofErr w:type="spellEnd"/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sol in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meridie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a medio virtutis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. Terribile signum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occidi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meredie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F23202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F23202">
        <w:rPr>
          <w:rFonts w:ascii="Times New Roman" w:hAnsi="Times New Roman" w:cs="Times New Roman"/>
          <w:sz w:val="24"/>
          <w:szCs w:val="24"/>
        </w:rPr>
        <w:t>clarior</w:t>
      </w:r>
      <w:proofErr w:type="spellEnd"/>
      <w:r w:rsidR="00AA2F95">
        <w:rPr>
          <w:rFonts w:ascii="Times New Roman" w:hAnsi="Times New Roman" w:cs="Times New Roman"/>
          <w:sz w:val="24"/>
          <w:szCs w:val="24"/>
        </w:rPr>
        <w:t>,</w:t>
      </w:r>
      <w:r w:rsidR="00F23202">
        <w:rPr>
          <w:rFonts w:ascii="Times New Roman" w:hAnsi="Times New Roman" w:cs="Times New Roman"/>
          <w:sz w:val="24"/>
          <w:szCs w:val="24"/>
        </w:rPr>
        <w:t xml:space="preserve"> se-</w:t>
      </w:r>
    </w:p>
    <w:p w14:paraId="31327FD7" w14:textId="77777777" w:rsidR="00F23202" w:rsidRDefault="00F23202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304va/</w:t>
      </w:r>
    </w:p>
    <w:p w14:paraId="280576F8" w14:textId="77777777" w:rsidR="00295131" w:rsidRDefault="00F23202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feruencior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corumpitur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A2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veritas </w:t>
      </w:r>
      <w:proofErr w:type="spellStart"/>
      <w:r w:rsidR="00AA2F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AA2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AA2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doctrine. </w:t>
      </w:r>
    </w:p>
    <w:p w14:paraId="4717CB99" w14:textId="77777777" w:rsidR="00295131" w:rsidRDefault="00F23202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scandalum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offendiculum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Gregoris</w:t>
      </w:r>
      <w:r w:rsidR="00295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evangelium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="001A45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sacerdotibus</w:t>
      </w:r>
      <w:proofErr w:type="spellEnd"/>
      <w:r w:rsidR="001A45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quos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dare exempla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prauitatis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FA5">
        <w:rPr>
          <w:rFonts w:ascii="Times New Roman" w:hAnsi="Times New Roman" w:cs="Times New Roman"/>
          <w:sz w:val="24"/>
          <w:szCs w:val="24"/>
        </w:rPr>
        <w:t>c</w:t>
      </w:r>
      <w:r w:rsidR="001A45BF">
        <w:rPr>
          <w:rFonts w:ascii="Times New Roman" w:hAnsi="Times New Roman" w:cs="Times New Roman"/>
          <w:sz w:val="24"/>
          <w:szCs w:val="24"/>
        </w:rPr>
        <w:t>ern</w:t>
      </w:r>
      <w:r w:rsidR="00392FA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92F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90BB0" w14:textId="77777777" w:rsidR="00295131" w:rsidRDefault="00392FA5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</w:t>
      </w:r>
      <w:r w:rsidR="0014582D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deficit in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="0014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14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conueniunt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="0014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14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14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verbo, Psal. [</w:t>
      </w:r>
      <w:r w:rsidR="0014582D">
        <w:rPr>
          <w:rFonts w:ascii="Times New Roman" w:hAnsi="Times New Roman" w:cs="Times New Roman"/>
          <w:sz w:val="24"/>
          <w:szCs w:val="24"/>
        </w:rPr>
        <w:t>118:66]: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82D">
        <w:rPr>
          <w:rFonts w:ascii="Times New Roman" w:hAnsi="Times New Roman" w:cs="Times New Roman"/>
          <w:i/>
          <w:iCs/>
          <w:sz w:val="24"/>
          <w:szCs w:val="24"/>
        </w:rPr>
        <w:t>Bonitatem</w:t>
      </w:r>
      <w:proofErr w:type="spellEnd"/>
      <w:r w:rsidR="0014582D" w:rsidRPr="001458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5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582D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="0014582D" w:rsidRPr="001458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582D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14582D">
        <w:rPr>
          <w:rFonts w:ascii="Times New Roman" w:hAnsi="Times New Roman" w:cs="Times New Roman"/>
          <w:i/>
          <w:iCs/>
          <w:sz w:val="24"/>
          <w:szCs w:val="24"/>
        </w:rPr>
        <w:t>disciplinam</w:t>
      </w:r>
      <w:proofErr w:type="spellEnd"/>
      <w:r w:rsidRPr="00145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582D">
        <w:rPr>
          <w:rFonts w:ascii="Times New Roman" w:hAnsi="Times New Roman" w:cs="Times New Roman"/>
          <w:i/>
          <w:iCs/>
          <w:sz w:val="24"/>
          <w:szCs w:val="24"/>
        </w:rPr>
        <w:t>doce</w:t>
      </w:r>
      <w:proofErr w:type="spellEnd"/>
      <w:r w:rsidRPr="0014582D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6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disciplinam</w:t>
      </w:r>
      <w:proofErr w:type="spellEnd"/>
      <w:r w:rsidR="00ED5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mutabilem</w:t>
      </w:r>
      <w:proofErr w:type="spellEnd"/>
      <w:r w:rsidR="006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80A7F" w14:textId="77777777" w:rsidR="00295131" w:rsidRDefault="00392FA5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inclipsante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fides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torpet</w:t>
      </w:r>
      <w:proofErr w:type="spellEnd"/>
      <w:r w:rsidR="002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caritas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</w:t>
      </w:r>
      <w:r w:rsidR="006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fetet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44A30" w14:textId="77777777" w:rsidR="00295131" w:rsidRDefault="00392FA5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stant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in medio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occumbunt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spacium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diei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toto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9721F" w:rsidRPr="008D3BF2">
        <w:rPr>
          <w:rFonts w:ascii="Times New Roman" w:hAnsi="Times New Roman" w:cs="Times New Roman"/>
          <w:sz w:val="24"/>
          <w:szCs w:val="24"/>
        </w:rPr>
        <w:t>empore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9721F" w:rsidRPr="008D3BF2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cet</w:t>
      </w:r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meritorie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, Eccli. 27[:12]: </w:t>
      </w:r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sanctus</w:t>
      </w:r>
      <w:proofErr w:type="spellEnd"/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manet sicut sol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C9721F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C9721F" w:rsidRPr="008D3BF2">
        <w:rPr>
          <w:rFonts w:ascii="Times New Roman" w:hAnsi="Times New Roman" w:cs="Times New Roman"/>
          <w:i/>
          <w:sz w:val="24"/>
          <w:szCs w:val="24"/>
        </w:rPr>
        <w:t xml:space="preserve">luna </w:t>
      </w:r>
      <w:proofErr w:type="spellStart"/>
      <w:r w:rsidR="00C9721F" w:rsidRPr="008D3BF2">
        <w:rPr>
          <w:rFonts w:ascii="Times New Roman" w:hAnsi="Times New Roman" w:cs="Times New Roman"/>
          <w:i/>
          <w:sz w:val="24"/>
          <w:szCs w:val="24"/>
        </w:rPr>
        <w:t>mutatur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. Sol semper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lucidus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licet nobis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eclipsari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 sed luna </w:t>
      </w:r>
      <w:proofErr w:type="spellStart"/>
      <w:r w:rsidR="00C9721F" w:rsidRPr="008D3BF2">
        <w:rPr>
          <w:rFonts w:ascii="Times New Roman" w:hAnsi="Times New Roman" w:cs="Times New Roman"/>
          <w:sz w:val="24"/>
          <w:szCs w:val="24"/>
        </w:rPr>
        <w:t>eclipsatur</w:t>
      </w:r>
      <w:proofErr w:type="spellEnd"/>
      <w:r w:rsidR="00C9721F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A641A" w14:textId="77777777" w:rsidR="00295131" w:rsidRDefault="00FF3957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Item, sol </w:t>
      </w:r>
      <w:r>
        <w:rPr>
          <w:rFonts w:ascii="Times New Roman" w:hAnsi="Times New Roman" w:cs="Times New Roman"/>
          <w:sz w:val="24"/>
          <w:szCs w:val="24"/>
        </w:rPr>
        <w:t xml:space="preserve">semper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eque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magnus sed luna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maioratur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minoratur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minus soli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apropinquat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19843" w14:textId="324BD51A" w:rsidR="00A2403B" w:rsidRPr="00A2403B" w:rsidRDefault="00FF3957" w:rsidP="00427F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reuersum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ad regie fidei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confirmacionem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Eccli. 48[:26]: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eius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retro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rediit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sol,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addidit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regi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>.</w:t>
      </w:r>
    </w:p>
    <w:sectPr w:rsidR="00A2403B" w:rsidRPr="00A2403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62DB" w14:textId="77777777" w:rsidR="0075147A" w:rsidRDefault="0075147A" w:rsidP="0075147A">
      <w:pPr>
        <w:spacing w:after="0" w:line="240" w:lineRule="auto"/>
      </w:pPr>
      <w:r>
        <w:separator/>
      </w:r>
    </w:p>
  </w:endnote>
  <w:endnote w:type="continuationSeparator" w:id="0">
    <w:p w14:paraId="6BF76FDD" w14:textId="77777777" w:rsidR="0075147A" w:rsidRDefault="0075147A" w:rsidP="0075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82E0" w14:textId="77777777" w:rsidR="0075147A" w:rsidRDefault="0075147A" w:rsidP="0075147A">
      <w:pPr>
        <w:spacing w:after="0" w:line="240" w:lineRule="auto"/>
      </w:pPr>
      <w:r>
        <w:separator/>
      </w:r>
    </w:p>
  </w:footnote>
  <w:footnote w:type="continuationSeparator" w:id="0">
    <w:p w14:paraId="322379B5" w14:textId="77777777" w:rsidR="0075147A" w:rsidRDefault="0075147A" w:rsidP="0075147A">
      <w:pPr>
        <w:spacing w:after="0" w:line="240" w:lineRule="auto"/>
      </w:pPr>
      <w:r>
        <w:continuationSeparator/>
      </w:r>
    </w:p>
  </w:footnote>
  <w:footnote w:id="1">
    <w:p w14:paraId="61EA51B4" w14:textId="10C54BF7" w:rsidR="0075147A" w:rsidRPr="001A45BF" w:rsidRDefault="0075147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A45B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A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5BF">
        <w:rPr>
          <w:rFonts w:ascii="Times New Roman" w:hAnsi="Times New Roman" w:cs="Times New Roman"/>
          <w:sz w:val="24"/>
          <w:szCs w:val="24"/>
        </w:rPr>
        <w:t>Sol ]</w:t>
      </w:r>
      <w:proofErr w:type="gramEnd"/>
      <w:r w:rsidRPr="001A45BF">
        <w:rPr>
          <w:rFonts w:ascii="Times New Roman" w:hAnsi="Times New Roman" w:cs="Times New Roman"/>
          <w:sz w:val="24"/>
          <w:szCs w:val="24"/>
        </w:rPr>
        <w:t xml:space="preserve"> Lambeth begins this chapter: In sole notatur… with the “I” capitalized.</w:t>
      </w:r>
    </w:p>
    <w:p w14:paraId="632C6011" w14:textId="77777777" w:rsidR="00D52164" w:rsidRPr="001A45BF" w:rsidRDefault="00D5216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A8D05E2" w14:textId="2F948F1E" w:rsidR="00D52164" w:rsidRPr="001A45BF" w:rsidRDefault="00D521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A45B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A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5BF">
        <w:rPr>
          <w:rFonts w:ascii="Times New Roman" w:hAnsi="Times New Roman" w:cs="Times New Roman"/>
          <w:sz w:val="24"/>
          <w:szCs w:val="24"/>
        </w:rPr>
        <w:t>Ammonite ]</w:t>
      </w:r>
      <w:proofErr w:type="gramEnd"/>
      <w:r w:rsidRPr="001A45BF">
        <w:rPr>
          <w:rFonts w:ascii="Times New Roman" w:hAnsi="Times New Roman" w:cs="Times New Roman"/>
          <w:sz w:val="24"/>
          <w:szCs w:val="24"/>
        </w:rPr>
        <w:t xml:space="preserve"> F 128 </w:t>
      </w:r>
      <w:r w:rsidRPr="001A45B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A45BF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1A45BF">
        <w:rPr>
          <w:rFonts w:ascii="Times New Roman" w:hAnsi="Times New Roman" w:cs="Times New Roman"/>
          <w:sz w:val="24"/>
          <w:szCs w:val="24"/>
        </w:rPr>
        <w:t>monite</w:t>
      </w:r>
      <w:proofErr w:type="spellEnd"/>
      <w:r w:rsidRPr="001A45BF">
        <w:rPr>
          <w:rFonts w:ascii="Times New Roman" w:hAnsi="Times New Roman" w:cs="Times New Roman"/>
          <w:sz w:val="24"/>
          <w:szCs w:val="24"/>
        </w:rPr>
        <w:t xml:space="preserve"> F 80, 0 </w:t>
      </w:r>
      <w:proofErr w:type="spellStart"/>
      <w:r w:rsidRPr="001A45BF">
        <w:rPr>
          <w:rFonts w:ascii="Times New Roman" w:hAnsi="Times New Roman" w:cs="Times New Roman"/>
          <w:sz w:val="24"/>
          <w:szCs w:val="24"/>
        </w:rPr>
        <w:t>monite</w:t>
      </w:r>
      <w:proofErr w:type="spellEnd"/>
      <w:r w:rsidRPr="001A45BF">
        <w:rPr>
          <w:rFonts w:ascii="Times New Roman" w:hAnsi="Times New Roman" w:cs="Times New Roman"/>
          <w:sz w:val="24"/>
          <w:szCs w:val="24"/>
        </w:rPr>
        <w:t xml:space="preserve">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3B"/>
    <w:rsid w:val="000038A8"/>
    <w:rsid w:val="00056916"/>
    <w:rsid w:val="0014582D"/>
    <w:rsid w:val="001A45BF"/>
    <w:rsid w:val="00295131"/>
    <w:rsid w:val="00392FA5"/>
    <w:rsid w:val="003F7306"/>
    <w:rsid w:val="00417A86"/>
    <w:rsid w:val="00427F63"/>
    <w:rsid w:val="00433B90"/>
    <w:rsid w:val="0060075B"/>
    <w:rsid w:val="00607F8D"/>
    <w:rsid w:val="006E4C85"/>
    <w:rsid w:val="0075147A"/>
    <w:rsid w:val="007663F8"/>
    <w:rsid w:val="008E3C78"/>
    <w:rsid w:val="009E3723"/>
    <w:rsid w:val="00A2403B"/>
    <w:rsid w:val="00AA2F95"/>
    <w:rsid w:val="00C54289"/>
    <w:rsid w:val="00C82981"/>
    <w:rsid w:val="00C96E39"/>
    <w:rsid w:val="00C9721F"/>
    <w:rsid w:val="00D116FA"/>
    <w:rsid w:val="00D2650F"/>
    <w:rsid w:val="00D52164"/>
    <w:rsid w:val="00E51428"/>
    <w:rsid w:val="00ED511A"/>
    <w:rsid w:val="00F2320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D12A"/>
  <w15:chartTrackingRefBased/>
  <w15:docId w15:val="{6BF9D126-8503-4E88-B54C-4DB1C80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03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4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4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47A"/>
    <w:rPr>
      <w:vertAlign w:val="superscript"/>
    </w:rPr>
  </w:style>
  <w:style w:type="character" w:customStyle="1" w:styleId="highlight">
    <w:name w:val="highlight"/>
    <w:basedOn w:val="DefaultParagraphFont"/>
    <w:rsid w:val="00417A86"/>
  </w:style>
  <w:style w:type="character" w:styleId="Hyperlink">
    <w:name w:val="Hyperlink"/>
    <w:basedOn w:val="DefaultParagraphFont"/>
    <w:uiPriority w:val="99"/>
    <w:semiHidden/>
    <w:unhideWhenUsed/>
    <w:rsid w:val="00417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FFC8-A43A-4819-840C-10608B2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2024-07-14T17:01:00Z</cp:lastPrinted>
  <dcterms:created xsi:type="dcterms:W3CDTF">2024-07-14T14:40:00Z</dcterms:created>
  <dcterms:modified xsi:type="dcterms:W3CDTF">2024-07-14T17:05:00Z</dcterms:modified>
</cp:coreProperties>
</file>