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086E7" w14:textId="42404617" w:rsidR="00433B90" w:rsidRPr="00721699" w:rsidRDefault="002F2C2D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D758174" w14:textId="230DDCC7" w:rsidR="002F2C2D" w:rsidRPr="00721699" w:rsidRDefault="002F2C2D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t xml:space="preserve">222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Reuerti</w:t>
      </w:r>
      <w:proofErr w:type="spellEnd"/>
    </w:p>
    <w:p w14:paraId="5A73A823" w14:textId="77777777" w:rsidR="001A0461" w:rsidRDefault="0053490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Reuerti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>.</w:t>
      </w:r>
      <w:r w:rsidR="00547EC3" w:rsidRPr="0072169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immundus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spiritus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exierit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iCs/>
          <w:sz w:val="24"/>
          <w:szCs w:val="24"/>
        </w:rPr>
        <w:t>ab</w:t>
      </w:r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homine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>, etc.,</w:t>
      </w:r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Revertar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>, etc.</w:t>
      </w:r>
      <w:r w:rsidR="00547EC3" w:rsidRPr="00721699">
        <w:rPr>
          <w:rFonts w:ascii="Times New Roman" w:hAnsi="Times New Roman" w:cs="Times New Roman"/>
          <w:sz w:val="24"/>
          <w:szCs w:val="24"/>
        </w:rPr>
        <w:t xml:space="preserve">, [Luc. 11:24]. 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97B59" w14:textId="15FB0821" w:rsidR="0053490F" w:rsidRPr="00721699" w:rsidRDefault="0053490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actum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spiritus nota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309D73" w14:textId="03525DEB" w:rsidR="0053490F" w:rsidRPr="00721699" w:rsidRDefault="0053490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t>/fol. 295vb/</w:t>
      </w:r>
    </w:p>
    <w:p w14:paraId="667C0DC8" w14:textId="77777777" w:rsidR="001A0461" w:rsidRDefault="0053490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progressum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progressum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p</w:t>
      </w:r>
      <w:r w:rsidR="00547EC3" w:rsidRPr="00721699">
        <w:rPr>
          <w:rFonts w:ascii="Times New Roman" w:hAnsi="Times New Roman" w:cs="Times New Roman"/>
          <w:sz w:val="24"/>
          <w:szCs w:val="24"/>
        </w:rPr>
        <w:t>er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Egressus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semper bonus,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progressus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dubius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regressus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semper malus.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EC3" w:rsidRPr="00721699">
        <w:rPr>
          <w:rFonts w:ascii="Times New Roman" w:hAnsi="Times New Roman" w:cs="Times New Roman"/>
          <w:sz w:val="24"/>
          <w:szCs w:val="24"/>
        </w:rPr>
        <w:t>fratres</w:t>
      </w:r>
      <w:proofErr w:type="spellEnd"/>
      <w:r w:rsidR="00547EC3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procure</w:t>
      </w:r>
      <w:r w:rsidR="00547EC3" w:rsidRPr="00721699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547EC3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EC3" w:rsidRPr="00721699"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 w:rsidR="00547EC3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EC3" w:rsidRPr="00721699">
        <w:rPr>
          <w:rFonts w:ascii="Times New Roman" w:hAnsi="Times New Roman" w:cs="Times New Roman"/>
          <w:sz w:val="24"/>
          <w:szCs w:val="24"/>
        </w:rPr>
        <w:t>egressum</w:t>
      </w:r>
      <w:proofErr w:type="spellEnd"/>
      <w:r w:rsidR="00547EC3" w:rsidRPr="0072169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547EC3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EC3" w:rsidRPr="0072169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domus nostra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mundetur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ornetur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Caueamus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progressum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ne requiem non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inueniens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reuertatur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Timeamus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EC3" w:rsidRPr="00721699">
        <w:rPr>
          <w:rFonts w:ascii="Times New Roman" w:hAnsi="Times New Roman" w:cs="Times New Roman"/>
          <w:sz w:val="24"/>
          <w:szCs w:val="24"/>
        </w:rPr>
        <w:t>vehementer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regressum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ne nostra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nouissima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peiora</w:t>
      </w:r>
      <w:proofErr w:type="spellEnd"/>
      <w:r w:rsidR="00DB2CB9" w:rsidRPr="00721699">
        <w:rPr>
          <w:rFonts w:ascii="Times New Roman" w:hAnsi="Times New Roman" w:cs="Times New Roman"/>
          <w:sz w:val="24"/>
          <w:szCs w:val="24"/>
        </w:rPr>
        <w:t xml:space="preserve"> sint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prior</w:t>
      </w:r>
      <w:r w:rsidR="00DB2CB9" w:rsidRPr="0072169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B2CB9" w:rsidRPr="00721699">
        <w:rPr>
          <w:rFonts w:ascii="Times New Roman" w:hAnsi="Times New Roman" w:cs="Times New Roman"/>
          <w:sz w:val="24"/>
          <w:szCs w:val="24"/>
        </w:rPr>
        <w:t>.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DB2CB9" w:rsidRPr="00721699">
        <w:rPr>
          <w:rFonts w:ascii="Times New Roman" w:hAnsi="Times New Roman" w:cs="Times New Roman"/>
          <w:sz w:val="24"/>
          <w:szCs w:val="24"/>
        </w:rPr>
        <w:t>E</w:t>
      </w:r>
      <w:r w:rsidRPr="00721699">
        <w:rPr>
          <w:rFonts w:ascii="Times New Roman" w:hAnsi="Times New Roman" w:cs="Times New Roman"/>
          <w:sz w:val="24"/>
          <w:szCs w:val="24"/>
        </w:rPr>
        <w:t>xit</w:t>
      </w:r>
      <w:r w:rsidR="00DB2CB9" w:rsidRPr="00721699">
        <w:rPr>
          <w:rFonts w:ascii="Times New Roman" w:hAnsi="Times New Roman" w:cs="Times New Roman"/>
          <w:sz w:val="24"/>
          <w:szCs w:val="24"/>
        </w:rPr>
        <w:t xml:space="preserve"> autem</w:t>
      </w:r>
      <w:r w:rsidRPr="00721699">
        <w:rPr>
          <w:rFonts w:ascii="Times New Roman" w:hAnsi="Times New Roman" w:cs="Times New Roman"/>
          <w:sz w:val="24"/>
          <w:szCs w:val="24"/>
        </w:rPr>
        <w:t xml:space="preserve"> [Luc. 11:24]: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i/>
          <w:sz w:val="24"/>
          <w:szCs w:val="24"/>
        </w:rPr>
        <w:t>spiritus</w:t>
      </w:r>
      <w:r w:rsidRPr="0072169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ingrediebatur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DB2CB9" w:rsidRPr="00721699">
        <w:rPr>
          <w:rFonts w:ascii="Times New Roman" w:hAnsi="Times New Roman" w:cs="Times New Roman"/>
          <w:sz w:val="24"/>
          <w:szCs w:val="24"/>
        </w:rPr>
        <w:t>.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DB2CB9" w:rsidRPr="00721699">
        <w:rPr>
          <w:rFonts w:ascii="Times New Roman" w:hAnsi="Times New Roman" w:cs="Times New Roman"/>
          <w:sz w:val="24"/>
          <w:szCs w:val="24"/>
        </w:rPr>
        <w:t>E</w:t>
      </w:r>
      <w:r w:rsidRPr="00721699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ambulans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loca</w:t>
      </w:r>
      <w:proofErr w:type="spellEnd"/>
      <w:r w:rsidR="00DB2CB9" w:rsidRPr="00721699">
        <w:rPr>
          <w:rFonts w:ascii="Times New Roman" w:hAnsi="Times New Roman" w:cs="Times New Roman"/>
          <w:sz w:val="24"/>
          <w:szCs w:val="24"/>
        </w:rPr>
        <w:t>,</w:t>
      </w:r>
      <w:r w:rsidRPr="00721699">
        <w:rPr>
          <w:rFonts w:ascii="Times New Roman" w:hAnsi="Times New Roman" w:cs="Times New Roman"/>
          <w:sz w:val="24"/>
          <w:szCs w:val="24"/>
        </w:rPr>
        <w:t xml:space="preserve"> etc.,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aquosa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sunt cor</w:t>
      </w:r>
      <w:r w:rsidR="00DB2CB9" w:rsidRPr="00721699">
        <w:rPr>
          <w:rFonts w:ascii="Times New Roman" w:hAnsi="Times New Roman" w:cs="Times New Roman"/>
          <w:sz w:val="24"/>
          <w:szCs w:val="24"/>
        </w:rPr>
        <w:t>d</w:t>
      </w:r>
      <w:r w:rsidRPr="0072169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luxuriosa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de quibus Job [40:16]: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Dormit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DB2CB9" w:rsidRPr="00721699">
        <w:rPr>
          <w:rFonts w:ascii="Times New Roman" w:hAnsi="Times New Roman" w:cs="Times New Roman"/>
          <w:i/>
          <w:sz w:val="24"/>
          <w:szCs w:val="24"/>
        </w:rPr>
        <w:t xml:space="preserve"> umbra calami, in</w:t>
      </w:r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locis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humentibus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>. Loca in</w:t>
      </w:r>
      <w:r w:rsidR="0020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aquosa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sunt corda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arida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abstinenciam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et penitenciam.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fiduciam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infl</w:t>
      </w:r>
      <w:r w:rsidR="00A04FA1" w:rsidRPr="00721699">
        <w:rPr>
          <w:rFonts w:ascii="Times New Roman" w:hAnsi="Times New Roman" w:cs="Times New Roman"/>
          <w:sz w:val="24"/>
          <w:szCs w:val="24"/>
        </w:rPr>
        <w:t>u</w:t>
      </w:r>
      <w:r w:rsidRPr="0072169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J</w:t>
      </w:r>
      <w:r w:rsidR="00A04FA1" w:rsidRPr="00721699">
        <w:rPr>
          <w:rFonts w:ascii="Times New Roman" w:hAnsi="Times New Roman" w:cs="Times New Roman"/>
          <w:sz w:val="24"/>
          <w:szCs w:val="24"/>
        </w:rPr>
        <w:t>ordanis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eius</w:t>
      </w:r>
      <w:r w:rsidR="002079A9">
        <w:rPr>
          <w:rFonts w:ascii="Times New Roman" w:hAnsi="Times New Roman" w:cs="Times New Roman"/>
          <w:sz w:val="24"/>
          <w:szCs w:val="24"/>
        </w:rPr>
        <w:t>.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9A9">
        <w:rPr>
          <w:rFonts w:ascii="Times New Roman" w:hAnsi="Times New Roman" w:cs="Times New Roman"/>
          <w:sz w:val="24"/>
          <w:szCs w:val="24"/>
        </w:rPr>
        <w:t>C</w:t>
      </w:r>
      <w:r w:rsidRPr="00721699">
        <w:rPr>
          <w:rFonts w:ascii="Times New Roman" w:hAnsi="Times New Roman" w:cs="Times New Roman"/>
          <w:sz w:val="24"/>
          <w:szCs w:val="24"/>
        </w:rPr>
        <w:t>ircuiens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querens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quem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deuoret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sz w:val="24"/>
          <w:szCs w:val="24"/>
        </w:rPr>
        <w:t>[1 Pet. 5:8]</w:t>
      </w:r>
      <w:r w:rsidR="00A04FA1" w:rsidRPr="00721699">
        <w:rPr>
          <w:rFonts w:ascii="Times New Roman" w:hAnsi="Times New Roman" w:cs="Times New Roman"/>
          <w:sz w:val="24"/>
          <w:szCs w:val="24"/>
        </w:rPr>
        <w:t>.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A04FA1" w:rsidRPr="00721699">
        <w:rPr>
          <w:rFonts w:ascii="Times New Roman" w:hAnsi="Times New Roman" w:cs="Times New Roman"/>
          <w:sz w:val="24"/>
          <w:szCs w:val="24"/>
        </w:rPr>
        <w:t>S</w:t>
      </w:r>
      <w:r w:rsidRPr="00721699">
        <w:rPr>
          <w:rFonts w:ascii="Times New Roman" w:hAnsi="Times New Roman" w:cs="Times New Roman"/>
          <w:sz w:val="24"/>
          <w:szCs w:val="24"/>
        </w:rPr>
        <w:t xml:space="preserve">ed requiem non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inueniens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dicit [Luc. 11:24]: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Revertar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domum</w:t>
      </w:r>
      <w:proofErr w:type="spellEnd"/>
      <w:r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="00A04FA1" w:rsidRPr="00721699">
        <w:rPr>
          <w:rFonts w:ascii="Times New Roman" w:hAnsi="Times New Roman" w:cs="Times New Roman"/>
          <w:sz w:val="24"/>
          <w:szCs w:val="24"/>
        </w:rPr>
        <w:t xml:space="preserve"> prior.</w:t>
      </w:r>
      <w:r w:rsidRPr="0072169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menda</w:t>
      </w:r>
      <w:r w:rsidR="00A04FA1" w:rsidRPr="0072169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menciatur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s</w:t>
      </w:r>
      <w:r w:rsidR="00A04FA1" w:rsidRPr="007216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presumpcionis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presumat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dicendo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esse</w:t>
      </w:r>
      <w:r w:rsidR="00A04FA1" w:rsidRPr="007216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A04FA1"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04FA1" w:rsidRPr="00721699">
        <w:rPr>
          <w:rFonts w:ascii="Times New Roman" w:hAnsi="Times New Roman" w:cs="Times New Roman"/>
          <w:sz w:val="24"/>
          <w:szCs w:val="24"/>
        </w:rPr>
        <w:t>,</w:t>
      </w:r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conscienciam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exiuit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domus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Egresso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demone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s</w:t>
      </w:r>
      <w:r w:rsidR="00A04FA1" w:rsidRPr="00721699">
        <w:rPr>
          <w:rFonts w:ascii="Times New Roman" w:hAnsi="Times New Roman" w:cs="Times New Roman"/>
          <w:sz w:val="24"/>
          <w:szCs w:val="24"/>
        </w:rPr>
        <w:t>c</w:t>
      </w:r>
      <w:r w:rsidRPr="00721699">
        <w:rPr>
          <w:rFonts w:ascii="Times New Roman" w:hAnsi="Times New Roman" w:cs="Times New Roman"/>
          <w:sz w:val="24"/>
          <w:szCs w:val="24"/>
        </w:rPr>
        <w:t>op</w:t>
      </w:r>
      <w:r w:rsidR="00A04FA1" w:rsidRPr="00721699">
        <w:rPr>
          <w:rFonts w:ascii="Times New Roman" w:hAnsi="Times New Roman" w:cs="Times New Roman"/>
          <w:sz w:val="24"/>
          <w:szCs w:val="24"/>
        </w:rPr>
        <w:t>er</w:t>
      </w:r>
      <w:r w:rsidRPr="0072169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mundatur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ornatur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introductis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virtutibus.</w:t>
      </w:r>
      <w:r w:rsidR="00A04FA1" w:rsidRPr="00721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CF7EC" w14:textId="594CA85B" w:rsidR="00694B75" w:rsidRPr="00721699" w:rsidRDefault="00A04FA1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53490F" w:rsidRPr="00721699">
        <w:rPr>
          <w:rFonts w:ascii="Times New Roman" w:hAnsi="Times New Roman" w:cs="Times New Roman"/>
          <w:sz w:val="24"/>
          <w:szCs w:val="24"/>
        </w:rPr>
        <w:t>Est autem triplex scopa</w:t>
      </w:r>
      <w:r w:rsidRPr="00721699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>,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in corde, confessionis in ore,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satisfactionis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in opere.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Ornatur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sz w:val="24"/>
          <w:szCs w:val="24"/>
        </w:rPr>
        <w:t>in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donis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virtutibus, </w:t>
      </w:r>
      <w:r w:rsidRPr="00721699">
        <w:rPr>
          <w:rFonts w:ascii="Times New Roman" w:hAnsi="Times New Roman" w:cs="Times New Roman"/>
          <w:sz w:val="24"/>
          <w:szCs w:val="24"/>
        </w:rPr>
        <w:t>et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oper</w:t>
      </w:r>
      <w:r w:rsidRPr="00721699">
        <w:rPr>
          <w:rFonts w:ascii="Times New Roman" w:hAnsi="Times New Roman" w:cs="Times New Roman"/>
          <w:sz w:val="24"/>
          <w:szCs w:val="24"/>
        </w:rPr>
        <w:t>ation</w:t>
      </w:r>
      <w:r w:rsidR="0053490F" w:rsidRPr="00721699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>.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Pr="00721699">
        <w:rPr>
          <w:rFonts w:ascii="Times New Roman" w:hAnsi="Times New Roman" w:cs="Times New Roman"/>
          <w:sz w:val="24"/>
          <w:szCs w:val="24"/>
        </w:rPr>
        <w:t>S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ed cum spiritus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non possit solus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irrumpere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0F" w:rsidRPr="00721699">
        <w:rPr>
          <w:rFonts w:ascii="Times New Roman" w:hAnsi="Times New Roman" w:cs="Times New Roman"/>
          <w:i/>
          <w:sz w:val="24"/>
          <w:szCs w:val="24"/>
        </w:rPr>
        <w:t>assumit</w:t>
      </w:r>
      <w:proofErr w:type="spellEnd"/>
      <w:r w:rsidR="0053490F" w:rsidRPr="00721699">
        <w:rPr>
          <w:rFonts w:ascii="Times New Roman" w:hAnsi="Times New Roman" w:cs="Times New Roman"/>
          <w:i/>
          <w:sz w:val="24"/>
          <w:szCs w:val="24"/>
        </w:rPr>
        <w:t xml:space="preserve"> alios</w:t>
      </w:r>
      <w:r w:rsidR="00F12177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i/>
          <w:sz w:val="24"/>
          <w:szCs w:val="24"/>
        </w:rPr>
        <w:t>septem</w:t>
      </w:r>
      <w:proofErr w:type="spellEnd"/>
      <w:r w:rsidR="00F12177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i/>
          <w:sz w:val="24"/>
          <w:szCs w:val="24"/>
        </w:rPr>
        <w:t>secum</w:t>
      </w:r>
      <w:proofErr w:type="spellEnd"/>
      <w:r w:rsidR="00F12177" w:rsidRPr="00721699">
        <w:rPr>
          <w:rFonts w:ascii="Times New Roman" w:hAnsi="Times New Roman" w:cs="Times New Roman"/>
          <w:i/>
          <w:sz w:val="24"/>
          <w:szCs w:val="24"/>
        </w:rPr>
        <w:t>,</w:t>
      </w:r>
      <w:r w:rsidR="0053490F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90F" w:rsidRPr="00721699">
        <w:rPr>
          <w:rFonts w:ascii="Times New Roman" w:hAnsi="Times New Roman" w:cs="Times New Roman"/>
          <w:sz w:val="24"/>
          <w:szCs w:val="24"/>
        </w:rPr>
        <w:t>[Luc. 11:26],</w:t>
      </w:r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12177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spiritus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eiectus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sit</w:t>
      </w:r>
      <w:r w:rsidR="003E569D">
        <w:rPr>
          <w:rFonts w:ascii="Times New Roman" w:hAnsi="Times New Roman" w:cs="Times New Roman"/>
          <w:sz w:val="24"/>
          <w:szCs w:val="24"/>
        </w:rPr>
        <w:t>,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aggreditur</w:t>
      </w:r>
      <w:proofErr w:type="spellEnd"/>
      <w:r w:rsidR="00F12177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53490F" w:rsidRPr="00721699">
        <w:rPr>
          <w:rFonts w:ascii="Times New Roman" w:hAnsi="Times New Roman" w:cs="Times New Roman"/>
          <w:sz w:val="24"/>
          <w:szCs w:val="24"/>
        </w:rPr>
        <w:t>castrum</w:t>
      </w:r>
      <w:r w:rsidR="00F12177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affectum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spiritibus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simileronis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>,</w:t>
      </w:r>
      <w:r w:rsidR="00F12177" w:rsidRPr="00721699">
        <w:rPr>
          <w:rFonts w:ascii="Times New Roman" w:hAnsi="Times New Roman" w:cs="Times New Roman"/>
          <w:sz w:val="24"/>
          <w:szCs w:val="24"/>
        </w:rPr>
        <w:t xml:space="preserve"> et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hypocrisis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vane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ambiciosis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elacionis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ostenacionis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>,</w:t>
      </w:r>
      <w:r w:rsidR="00F12177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dissolucionis</w:t>
      </w:r>
      <w:proofErr w:type="spellEnd"/>
      <w:r w:rsidR="00F12177" w:rsidRPr="00721699">
        <w:rPr>
          <w:rFonts w:ascii="Times New Roman" w:hAnsi="Times New Roman" w:cs="Times New Roman"/>
          <w:sz w:val="24"/>
          <w:szCs w:val="24"/>
        </w:rPr>
        <w:t>.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F12177" w:rsidRPr="00721699">
        <w:rPr>
          <w:rFonts w:ascii="Times New Roman" w:hAnsi="Times New Roman" w:cs="Times New Roman"/>
          <w:sz w:val="24"/>
          <w:szCs w:val="24"/>
        </w:rPr>
        <w:t>E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spiritus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immundus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vallatu</w:t>
      </w:r>
      <w:r w:rsidR="00F12177" w:rsidRPr="0072169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12177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subintrat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F12177" w:rsidRPr="00721699">
        <w:rPr>
          <w:rFonts w:ascii="Times New Roman" w:hAnsi="Times New Roman" w:cs="Times New Roman"/>
          <w:sz w:val="24"/>
          <w:szCs w:val="24"/>
        </w:rPr>
        <w:t>sic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omnino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desperandum</w:t>
      </w:r>
      <w:r w:rsidR="00F12177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177"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12177" w:rsidRPr="00721699">
        <w:rPr>
          <w:rFonts w:ascii="Times New Roman" w:hAnsi="Times New Roman" w:cs="Times New Roman"/>
          <w:sz w:val="24"/>
          <w:szCs w:val="24"/>
        </w:rPr>
        <w:t xml:space="preserve"> Jesus</w:t>
      </w:r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eiecisse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demonia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[Luc. 8:2], id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principalia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designantur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gentes de terra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promissionis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0F" w:rsidRPr="00721699">
        <w:rPr>
          <w:rFonts w:ascii="Times New Roman" w:hAnsi="Times New Roman" w:cs="Times New Roman"/>
          <w:sz w:val="24"/>
          <w:szCs w:val="24"/>
        </w:rPr>
        <w:t>eiectas</w:t>
      </w:r>
      <w:proofErr w:type="spellEnd"/>
      <w:r w:rsidR="0053490F" w:rsidRPr="00721699">
        <w:rPr>
          <w:rFonts w:ascii="Times New Roman" w:hAnsi="Times New Roman" w:cs="Times New Roman"/>
          <w:sz w:val="24"/>
          <w:szCs w:val="24"/>
        </w:rPr>
        <w:t xml:space="preserve">. </w:t>
      </w:r>
      <w:r w:rsidR="00694B75" w:rsidRPr="00721699">
        <w:rPr>
          <w:rFonts w:ascii="Times New Roman" w:hAnsi="Times New Roman" w:cs="Times New Roman"/>
          <w:sz w:val="24"/>
          <w:szCs w:val="24"/>
        </w:rPr>
        <w:t xml:space="preserve">Quibus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opponuntur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virtutes et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. In quibus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ternarius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refertur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vires naturales, scilicet, vim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rationalem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discernat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inter bonum et malum</w:t>
      </w:r>
      <w:r w:rsidR="00373827">
        <w:rPr>
          <w:rFonts w:ascii="Times New Roman" w:hAnsi="Times New Roman" w:cs="Times New Roman"/>
          <w:sz w:val="24"/>
          <w:szCs w:val="24"/>
        </w:rPr>
        <w:t>,</w:t>
      </w:r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irascibilem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malum</w:t>
      </w:r>
      <w:r w:rsidR="00373827">
        <w:rPr>
          <w:rFonts w:ascii="Times New Roman" w:hAnsi="Times New Roman" w:cs="Times New Roman"/>
          <w:sz w:val="24"/>
          <w:szCs w:val="24"/>
        </w:rPr>
        <w:t>,</w:t>
      </w:r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concupiscibilem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75" w:rsidRPr="00721699">
        <w:rPr>
          <w:rFonts w:ascii="Times New Roman" w:hAnsi="Times New Roman" w:cs="Times New Roman"/>
          <w:sz w:val="24"/>
          <w:szCs w:val="24"/>
        </w:rPr>
        <w:t>appetat</w:t>
      </w:r>
      <w:proofErr w:type="spellEnd"/>
      <w:r w:rsidR="00694B75" w:rsidRPr="00721699">
        <w:rPr>
          <w:rFonts w:ascii="Times New Roman" w:hAnsi="Times New Roman" w:cs="Times New Roman"/>
          <w:sz w:val="24"/>
          <w:szCs w:val="24"/>
        </w:rPr>
        <w:t xml:space="preserve"> bonum.</w:t>
      </w:r>
    </w:p>
    <w:p w14:paraId="19B081D7" w14:textId="4B71C8E2" w:rsidR="00694B75" w:rsidRPr="00721699" w:rsidRDefault="00694B75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t>/fol. 296ra/</w:t>
      </w:r>
    </w:p>
    <w:p w14:paraId="17CCDD53" w14:textId="77777777" w:rsidR="001A0461" w:rsidRDefault="00694B75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1699">
        <w:rPr>
          <w:rFonts w:ascii="Times New Roman" w:hAnsi="Times New Roman" w:cs="Times New Roman"/>
          <w:sz w:val="24"/>
          <w:szCs w:val="24"/>
        </w:rPr>
        <w:t>Quaternarius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refertur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ad corpus,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constat</w:t>
      </w:r>
      <w:r w:rsidR="003579AF" w:rsidRPr="00721699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elementis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septem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eiecta</w:t>
      </w:r>
      <w:proofErr w:type="spellEnd"/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spiritualia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corporalia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 sunt</w:t>
      </w:r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9AF" w:rsidRPr="00721699">
        <w:rPr>
          <w:rFonts w:ascii="Times New Roman" w:hAnsi="Times New Roman" w:cs="Times New Roman"/>
          <w:sz w:val="24"/>
          <w:szCs w:val="24"/>
        </w:rPr>
        <w:t>dimissa</w:t>
      </w:r>
      <w:proofErr w:type="spellEnd"/>
      <w:r w:rsidR="003579AF" w:rsidRPr="007216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CA70C" w14:textId="31BB3D60" w:rsidR="00694B75" w:rsidRPr="00721699" w:rsidRDefault="003579A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1699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sciendum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reuerti</w:t>
      </w:r>
      <w:proofErr w:type="spellEnd"/>
      <w:r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699">
        <w:rPr>
          <w:rFonts w:ascii="Times New Roman" w:hAnsi="Times New Roman" w:cs="Times New Roman"/>
          <w:sz w:val="24"/>
          <w:szCs w:val="24"/>
        </w:rPr>
        <w:t>tenemur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373827">
        <w:rPr>
          <w:rFonts w:ascii="Times New Roman" w:hAnsi="Times New Roman" w:cs="Times New Roman"/>
          <w:sz w:val="24"/>
          <w:szCs w:val="24"/>
        </w:rPr>
        <w:t>.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373827">
        <w:rPr>
          <w:rFonts w:ascii="Times New Roman" w:hAnsi="Times New Roman" w:cs="Times New Roman"/>
          <w:sz w:val="24"/>
          <w:szCs w:val="24"/>
        </w:rPr>
        <w:t>Q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promptus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reuocandum</w:t>
      </w:r>
      <w:proofErr w:type="spellEnd"/>
      <w:r w:rsidR="00373827">
        <w:rPr>
          <w:rFonts w:ascii="Times New Roman" w:hAnsi="Times New Roman" w:cs="Times New Roman"/>
          <w:sz w:val="24"/>
          <w:szCs w:val="24"/>
        </w:rPr>
        <w:t>,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diuturnus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exspectandum</w:t>
      </w:r>
      <w:proofErr w:type="spellEnd"/>
      <w:r w:rsidR="00373827">
        <w:rPr>
          <w:rFonts w:ascii="Times New Roman" w:hAnsi="Times New Roman" w:cs="Times New Roman"/>
          <w:sz w:val="24"/>
          <w:szCs w:val="24"/>
        </w:rPr>
        <w:t>,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 facilis ad</w:t>
      </w:r>
      <w:r w:rsidR="001A0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remittendum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. </w:t>
      </w:r>
      <w:r w:rsidR="00721699">
        <w:rPr>
          <w:rFonts w:ascii="Times New Roman" w:hAnsi="Times New Roman" w:cs="Times New Roman"/>
          <w:sz w:val="24"/>
          <w:szCs w:val="24"/>
        </w:rPr>
        <w:t xml:space="preserve">De primo 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Can. 6[:12]: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intueamur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. </w:t>
      </w:r>
      <w:r w:rsidR="007216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21699">
        <w:rPr>
          <w:rFonts w:ascii="Times New Roman" w:hAnsi="Times New Roman" w:cs="Times New Roman"/>
          <w:sz w:val="24"/>
          <w:szCs w:val="24"/>
        </w:rPr>
        <w:t>s</w:t>
      </w:r>
      <w:r w:rsidR="00721699" w:rsidRPr="00721699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, </w:t>
      </w:r>
      <w:r w:rsidR="00721699">
        <w:rPr>
          <w:rFonts w:ascii="Times New Roman" w:hAnsi="Times New Roman" w:cs="Times New Roman"/>
          <w:sz w:val="24"/>
          <w:szCs w:val="24"/>
        </w:rPr>
        <w:t>[</w:t>
      </w:r>
      <w:r w:rsidR="00721699" w:rsidRPr="00721699">
        <w:rPr>
          <w:rFonts w:ascii="Times New Roman" w:hAnsi="Times New Roman" w:cs="Times New Roman"/>
          <w:sz w:val="24"/>
          <w:szCs w:val="24"/>
        </w:rPr>
        <w:t>2</w:t>
      </w:r>
      <w:r w:rsidR="00721699">
        <w:rPr>
          <w:rFonts w:ascii="Times New Roman" w:hAnsi="Times New Roman" w:cs="Times New Roman"/>
          <w:sz w:val="24"/>
          <w:szCs w:val="24"/>
        </w:rPr>
        <w:t>]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 Pet. 3[:9]: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Patienter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agit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 Deus </w:t>
      </w:r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propter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nolens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aliquem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perire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, sed omnes ad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reverti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. </w:t>
      </w:r>
      <w:r w:rsidR="00721699">
        <w:rPr>
          <w:rFonts w:ascii="Times New Roman" w:hAnsi="Times New Roman" w:cs="Times New Roman"/>
          <w:sz w:val="24"/>
          <w:szCs w:val="24"/>
        </w:rPr>
        <w:t>De t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ercio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. 55[:7]: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Derelinquat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impius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iniquus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cogitationes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revertatur</w:t>
      </w:r>
      <w:proofErr w:type="spellEnd"/>
      <w:r w:rsidR="007216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1699">
        <w:rPr>
          <w:rFonts w:ascii="Times New Roman" w:hAnsi="Times New Roman" w:cs="Times New Roman"/>
          <w:iCs/>
          <w:sz w:val="24"/>
          <w:szCs w:val="24"/>
        </w:rPr>
        <w:t>etc.</w:t>
      </w:r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qui multi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nolunt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reuerti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coruus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emissus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archa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, Gen. 8[:6-7].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licet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sepius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inc</w:t>
      </w:r>
      <w:r w:rsidR="00721699">
        <w:rPr>
          <w:rFonts w:ascii="Times New Roman" w:hAnsi="Times New Roman" w:cs="Times New Roman"/>
          <w:sz w:val="24"/>
          <w:szCs w:val="24"/>
        </w:rPr>
        <w:t>l</w:t>
      </w:r>
      <w:r w:rsidR="00721699" w:rsidRPr="00721699">
        <w:rPr>
          <w:rFonts w:ascii="Times New Roman" w:hAnsi="Times New Roman" w:cs="Times New Roman"/>
          <w:sz w:val="24"/>
          <w:szCs w:val="24"/>
        </w:rPr>
        <w:t>amati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, Deut. 32[:15]: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Incrassatus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dilectus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>, et</w:t>
      </w:r>
      <w:r w:rsidR="00721699" w:rsidRPr="00721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sz w:val="24"/>
          <w:szCs w:val="24"/>
        </w:rPr>
        <w:t>recalcitra</w:t>
      </w:r>
      <w:r w:rsidR="0072169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 xml:space="preserve">. Jer. 5[:3]: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Induraverunt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facies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supra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petram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noluerunt</w:t>
      </w:r>
      <w:proofErr w:type="spellEnd"/>
      <w:r w:rsidR="00721699" w:rsidRPr="00721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699" w:rsidRPr="00721699">
        <w:rPr>
          <w:rFonts w:ascii="Times New Roman" w:hAnsi="Times New Roman" w:cs="Times New Roman"/>
          <w:i/>
          <w:sz w:val="24"/>
          <w:szCs w:val="24"/>
        </w:rPr>
        <w:t>reverti</w:t>
      </w:r>
      <w:proofErr w:type="spellEnd"/>
      <w:r w:rsidR="00721699" w:rsidRPr="00721699">
        <w:rPr>
          <w:rFonts w:ascii="Times New Roman" w:hAnsi="Times New Roman" w:cs="Times New Roman"/>
          <w:sz w:val="24"/>
          <w:szCs w:val="24"/>
        </w:rPr>
        <w:t>.</w:t>
      </w:r>
    </w:p>
    <w:p w14:paraId="434615F5" w14:textId="2EE438A7" w:rsidR="0053490F" w:rsidRPr="00721699" w:rsidRDefault="0053490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46740E" w14:textId="72C52F38" w:rsidR="0053490F" w:rsidRPr="00721699" w:rsidRDefault="0053490F" w:rsidP="001A046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3490F" w:rsidRPr="00721699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35A3" w14:textId="77777777" w:rsidR="00547EC3" w:rsidRDefault="00547EC3" w:rsidP="00547EC3">
      <w:pPr>
        <w:spacing w:after="0" w:line="240" w:lineRule="auto"/>
      </w:pPr>
      <w:r>
        <w:separator/>
      </w:r>
    </w:p>
  </w:endnote>
  <w:endnote w:type="continuationSeparator" w:id="0">
    <w:p w14:paraId="611DC793" w14:textId="77777777" w:rsidR="00547EC3" w:rsidRDefault="00547EC3" w:rsidP="0054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75DB6" w14:textId="77777777" w:rsidR="00547EC3" w:rsidRDefault="00547EC3" w:rsidP="00547EC3">
      <w:pPr>
        <w:spacing w:after="0" w:line="240" w:lineRule="auto"/>
      </w:pPr>
      <w:r>
        <w:separator/>
      </w:r>
    </w:p>
  </w:footnote>
  <w:footnote w:type="continuationSeparator" w:id="0">
    <w:p w14:paraId="55AB6F7A" w14:textId="77777777" w:rsidR="00547EC3" w:rsidRDefault="00547EC3" w:rsidP="00547EC3">
      <w:pPr>
        <w:spacing w:after="0" w:line="240" w:lineRule="auto"/>
      </w:pPr>
      <w:r>
        <w:continuationSeparator/>
      </w:r>
    </w:p>
  </w:footnote>
  <w:footnote w:id="1">
    <w:p w14:paraId="472A92EE" w14:textId="22DCF33D" w:rsidR="00547EC3" w:rsidRDefault="00547EC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47EC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4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EC3">
        <w:rPr>
          <w:rFonts w:ascii="Times New Roman" w:hAnsi="Times New Roman" w:cs="Times New Roman"/>
          <w:sz w:val="24"/>
          <w:szCs w:val="24"/>
        </w:rPr>
        <w:t>reuerti</w:t>
      </w:r>
      <w:proofErr w:type="spellEnd"/>
      <w:r w:rsidRPr="00547EC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47EC3">
        <w:rPr>
          <w:rFonts w:ascii="Times New Roman" w:hAnsi="Times New Roman" w:cs="Times New Roman"/>
          <w:sz w:val="24"/>
          <w:szCs w:val="24"/>
        </w:rPr>
        <w:t xml:space="preserve"> Lambeth begins this chapter: Cum </w:t>
      </w:r>
      <w:proofErr w:type="spellStart"/>
      <w:r w:rsidRPr="00547EC3">
        <w:rPr>
          <w:rFonts w:ascii="Times New Roman" w:hAnsi="Times New Roman" w:cs="Times New Roman"/>
          <w:sz w:val="24"/>
          <w:szCs w:val="24"/>
        </w:rPr>
        <w:t>immundus</w:t>
      </w:r>
      <w:proofErr w:type="spellEnd"/>
      <w:r w:rsidRPr="0054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C3">
        <w:rPr>
          <w:rFonts w:ascii="Times New Roman" w:hAnsi="Times New Roman" w:cs="Times New Roman"/>
          <w:sz w:val="24"/>
          <w:szCs w:val="24"/>
        </w:rPr>
        <w:t>spriritus</w:t>
      </w:r>
      <w:proofErr w:type="spellEnd"/>
      <w:r w:rsidRPr="00547EC3">
        <w:rPr>
          <w:rFonts w:ascii="Times New Roman" w:hAnsi="Times New Roman" w:cs="Times New Roman"/>
          <w:sz w:val="24"/>
          <w:szCs w:val="24"/>
        </w:rPr>
        <w:t>… with the “C” capitalized.</w:t>
      </w:r>
    </w:p>
    <w:p w14:paraId="68D9904D" w14:textId="77777777" w:rsidR="00547EC3" w:rsidRPr="00547EC3" w:rsidRDefault="00547EC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7329440" w14:textId="1AE194AE" w:rsidR="00547EC3" w:rsidRPr="00547EC3" w:rsidRDefault="00547E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egressum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Lambeth </w:t>
      </w:r>
      <w:r>
        <w:rPr>
          <w:rFonts w:ascii="Times New Roman" w:hAnsi="Times New Roman" w:cs="Times New Roman"/>
          <w:i/>
          <w:iCs/>
          <w:sz w:val="24"/>
          <w:szCs w:val="24"/>
        </w:rPr>
        <w:t>corr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diligressum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2D"/>
    <w:rsid w:val="0015082E"/>
    <w:rsid w:val="001A0461"/>
    <w:rsid w:val="002079A9"/>
    <w:rsid w:val="002F2C2D"/>
    <w:rsid w:val="003579AF"/>
    <w:rsid w:val="00373827"/>
    <w:rsid w:val="003E569D"/>
    <w:rsid w:val="00433B90"/>
    <w:rsid w:val="0053490F"/>
    <w:rsid w:val="00547EC3"/>
    <w:rsid w:val="0060075B"/>
    <w:rsid w:val="00694B75"/>
    <w:rsid w:val="00721699"/>
    <w:rsid w:val="008E3C78"/>
    <w:rsid w:val="008E7EDE"/>
    <w:rsid w:val="0090278F"/>
    <w:rsid w:val="009300D0"/>
    <w:rsid w:val="009E3723"/>
    <w:rsid w:val="00A04FA1"/>
    <w:rsid w:val="00B4718C"/>
    <w:rsid w:val="00D66217"/>
    <w:rsid w:val="00DB2CB9"/>
    <w:rsid w:val="00ED0133"/>
    <w:rsid w:val="00F12177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3571"/>
  <w15:chartTrackingRefBased/>
  <w15:docId w15:val="{1EAD28E3-DA3D-4B50-90C3-A7B9F905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C2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E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E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EC3"/>
    <w:rPr>
      <w:vertAlign w:val="superscript"/>
    </w:rPr>
  </w:style>
  <w:style w:type="character" w:customStyle="1" w:styleId="highlight">
    <w:name w:val="highlight"/>
    <w:basedOn w:val="DefaultParagraphFont"/>
    <w:rsid w:val="00F12177"/>
  </w:style>
  <w:style w:type="character" w:styleId="Hyperlink">
    <w:name w:val="Hyperlink"/>
    <w:basedOn w:val="DefaultParagraphFont"/>
    <w:uiPriority w:val="99"/>
    <w:semiHidden/>
    <w:unhideWhenUsed/>
    <w:rsid w:val="00F1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B2CA-774A-4AC9-BB9B-6C2C1942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2024-06-21T13:07:00Z</dcterms:created>
  <dcterms:modified xsi:type="dcterms:W3CDTF">2024-06-21T13:16:00Z</dcterms:modified>
</cp:coreProperties>
</file>