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1EE1" w14:textId="12254FC0" w:rsidR="00433B90" w:rsidRPr="005D70C3" w:rsidRDefault="003812A0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CB4BF00" w14:textId="4540CE84" w:rsidR="003812A0" w:rsidRPr="005D70C3" w:rsidRDefault="003812A0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219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Respicere</w:t>
      </w:r>
      <w:proofErr w:type="spellEnd"/>
    </w:p>
    <w:p w14:paraId="4BC5E0BC" w14:textId="77777777" w:rsidR="00751591" w:rsidRDefault="00096876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0C3">
        <w:rPr>
          <w:rFonts w:ascii="Times New Roman" w:hAnsi="Times New Roman" w:cs="Times New Roman"/>
          <w:sz w:val="24"/>
          <w:szCs w:val="24"/>
        </w:rPr>
        <w:t>Respicere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homo secundum sex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habitudines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superius,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dextrorsum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sinistrorsum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ante, et retro. Superius,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ad Deum 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Tre. 3[:41]: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Levemus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corda nostra cum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manibus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[140:2]: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Dirigatur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oratio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incensum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egenum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compassionem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Sicut sol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inferiora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calefacit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[31:20]: </w:t>
      </w:r>
      <w:r w:rsidRPr="005D70C3">
        <w:rPr>
          <w:rFonts w:ascii="Times New Roman" w:hAnsi="Times New Roman" w:cs="Times New Roman"/>
          <w:i/>
          <w:iCs/>
          <w:sz w:val="24"/>
          <w:szCs w:val="24"/>
        </w:rPr>
        <w:t xml:space="preserve">Manum </w:t>
      </w:r>
      <w:proofErr w:type="spellStart"/>
      <w:r w:rsidRPr="005D70C3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aperuit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inopi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Dextrorsum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perpendatur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caduca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Sinistrorsum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videndum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ante ad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operum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strenuitatem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[31:19]: </w:t>
      </w:r>
      <w:r w:rsidRPr="005D70C3">
        <w:rPr>
          <w:rFonts w:ascii="Times New Roman" w:hAnsi="Times New Roman" w:cs="Times New Roman"/>
          <w:i/>
          <w:sz w:val="24"/>
          <w:szCs w:val="24"/>
        </w:rPr>
        <w:t xml:space="preserve">Manum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suam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misit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fortia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82527A" w14:textId="77777777" w:rsidR="00751591" w:rsidRDefault="00096876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Retro, ad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neclectionem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onerosa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naui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muriens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Act. 28[:3-5] Paulus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excutiens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viperam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Pr="005D70C3">
        <w:rPr>
          <w:rFonts w:ascii="Times New Roman" w:hAnsi="Times New Roman" w:cs="Times New Roman"/>
          <w:i/>
          <w:sz w:val="24"/>
          <w:szCs w:val="24"/>
        </w:rPr>
        <w:t xml:space="preserve">nihil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mali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passus est</w:t>
      </w:r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17A53" w14:textId="77777777" w:rsidR="00751591" w:rsidRDefault="00096876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respicere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homo ad </w:t>
      </w:r>
      <w:proofErr w:type="spellStart"/>
      <w:r w:rsidR="00AB4ECA" w:rsidRPr="005D70C3">
        <w:rPr>
          <w:rFonts w:ascii="Times New Roman" w:hAnsi="Times New Roman" w:cs="Times New Roman"/>
          <w:sz w:val="24"/>
          <w:szCs w:val="24"/>
        </w:rPr>
        <w:t>v</w:t>
      </w:r>
      <w:r w:rsidRPr="005D70C3">
        <w:rPr>
          <w:rFonts w:ascii="Times New Roman" w:hAnsi="Times New Roman" w:cs="Times New Roman"/>
          <w:sz w:val="24"/>
          <w:szCs w:val="24"/>
        </w:rPr>
        <w:t>itam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sanctorum </w:t>
      </w:r>
      <w:proofErr w:type="spellStart"/>
      <w:r w:rsidR="00AB4ECA" w:rsidRPr="005D70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AB4ECA" w:rsidRPr="005D70C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D70C3">
        <w:rPr>
          <w:rFonts w:ascii="Times New Roman" w:hAnsi="Times New Roman" w:cs="Times New Roman"/>
          <w:sz w:val="24"/>
          <w:szCs w:val="24"/>
        </w:rPr>
        <w:t xml:space="preserve"> ad speculum, quantum</w:t>
      </w:r>
      <w:r w:rsidR="00AB4ECA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ECA" w:rsidRPr="005D70C3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="00AB4ECA" w:rsidRPr="005D70C3">
        <w:rPr>
          <w:rFonts w:ascii="Times New Roman" w:hAnsi="Times New Roman" w:cs="Times New Roman"/>
          <w:sz w:val="24"/>
          <w:szCs w:val="24"/>
        </w:rPr>
        <w:t xml:space="preserve"> quantum</w:t>
      </w:r>
      <w:r w:rsidRPr="005D70C3">
        <w:rPr>
          <w:rFonts w:ascii="Times New Roman" w:hAnsi="Times New Roman" w:cs="Times New Roman"/>
          <w:sz w:val="24"/>
          <w:szCs w:val="24"/>
        </w:rPr>
        <w:t xml:space="preserve"> deficit, secundum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Moralia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24, super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Job [33: 27]: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Respiciet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homines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dicet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>, Peccavi</w:t>
      </w:r>
      <w:r w:rsidRPr="005D70C3">
        <w:rPr>
          <w:rFonts w:ascii="Times New Roman" w:hAnsi="Times New Roman" w:cs="Times New Roman"/>
          <w:sz w:val="24"/>
          <w:szCs w:val="24"/>
        </w:rPr>
        <w:t xml:space="preserve">. Qui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plenissime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appet</w:t>
      </w:r>
      <w:r w:rsidR="00AB4ECA" w:rsidRPr="005D70C3">
        <w:rPr>
          <w:rFonts w:ascii="Times New Roman" w:hAnsi="Times New Roman" w:cs="Times New Roman"/>
          <w:sz w:val="24"/>
          <w:szCs w:val="24"/>
        </w:rPr>
        <w:t>a</w:t>
      </w:r>
      <w:r w:rsidRPr="005D70C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tales </w:t>
      </w:r>
      <w:proofErr w:type="spellStart"/>
      <w:r w:rsidR="00AB4ECA" w:rsidRPr="005D70C3">
        <w:rPr>
          <w:rFonts w:ascii="Times New Roman" w:hAnsi="Times New Roman" w:cs="Times New Roman"/>
          <w:sz w:val="24"/>
          <w:szCs w:val="24"/>
        </w:rPr>
        <w:t>con</w:t>
      </w:r>
      <w:r w:rsidRPr="005D70C3">
        <w:rPr>
          <w:rFonts w:ascii="Times New Roman" w:hAnsi="Times New Roman" w:cs="Times New Roman"/>
          <w:sz w:val="24"/>
          <w:szCs w:val="24"/>
        </w:rPr>
        <w:t>spiciat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ips</w:t>
      </w:r>
      <w:r w:rsidR="00AB4ECA" w:rsidRPr="005D70C3">
        <w:rPr>
          <w:rFonts w:ascii="Times New Roman" w:hAnsi="Times New Roman" w:cs="Times New Roman"/>
          <w:sz w:val="24"/>
          <w:szCs w:val="24"/>
        </w:rPr>
        <w:t>e</w:t>
      </w:r>
      <w:r w:rsidRPr="005D70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me</w:t>
      </w:r>
      <w:r w:rsidR="00AB4ECA" w:rsidRPr="005D70C3">
        <w:rPr>
          <w:rFonts w:ascii="Times New Roman" w:hAnsi="Times New Roman" w:cs="Times New Roman"/>
          <w:sz w:val="24"/>
          <w:szCs w:val="24"/>
        </w:rPr>
        <w:t>nc</w:t>
      </w:r>
      <w:r w:rsidRPr="005D70C3">
        <w:rPr>
          <w:rFonts w:ascii="Times New Roman" w:hAnsi="Times New Roman" w:cs="Times New Roman"/>
          <w:sz w:val="24"/>
          <w:szCs w:val="24"/>
        </w:rPr>
        <w:t>iatur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sit. </w:t>
      </w:r>
      <w:proofErr w:type="spellStart"/>
      <w:r w:rsidR="00AB4ECA" w:rsidRPr="005D70C3">
        <w:rPr>
          <w:rFonts w:ascii="Times New Roman" w:hAnsi="Times New Roman" w:cs="Times New Roman"/>
          <w:sz w:val="24"/>
          <w:szCs w:val="24"/>
        </w:rPr>
        <w:t>I</w:t>
      </w:r>
      <w:r w:rsidRPr="005D70C3">
        <w:rPr>
          <w:rFonts w:ascii="Times New Roman" w:hAnsi="Times New Roman" w:cs="Times New Roman"/>
          <w:sz w:val="24"/>
          <w:szCs w:val="24"/>
        </w:rPr>
        <w:t>ustorum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species, quasi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="00B23E37">
        <w:rPr>
          <w:rFonts w:ascii="Times New Roman" w:hAnsi="Times New Roman" w:cs="Times New Roman"/>
          <w:sz w:val="24"/>
          <w:szCs w:val="24"/>
        </w:rPr>
        <w:t>imi</w:t>
      </w:r>
      <w:r w:rsidRPr="005D70C3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proponitur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93EDB" w14:textId="239C0B7D" w:rsidR="00AB4ECA" w:rsidRPr="005D70C3" w:rsidRDefault="00AB4ECA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vn</w:t>
      </w:r>
      <w:r w:rsidRPr="005D70C3">
        <w:rPr>
          <w:rFonts w:ascii="Times New Roman" w:hAnsi="Times New Roman" w:cs="Times New Roman"/>
          <w:sz w:val="24"/>
          <w:szCs w:val="24"/>
        </w:rPr>
        <w:t>i</w:t>
      </w:r>
      <w:r w:rsidR="00096876" w:rsidRPr="005D70C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leccio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vita </w:t>
      </w:r>
    </w:p>
    <w:p w14:paraId="728A2F1D" w14:textId="2FA4793E" w:rsidR="00AB4ECA" w:rsidRPr="005D70C3" w:rsidRDefault="00330469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>/fol. 295ra/</w:t>
      </w:r>
    </w:p>
    <w:p w14:paraId="1623BE36" w14:textId="77777777" w:rsidR="00751591" w:rsidRDefault="00096876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70C3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="00330469" w:rsidRPr="005D70C3">
        <w:rPr>
          <w:rFonts w:ascii="Times New Roman" w:hAnsi="Times New Roman" w:cs="Times New Roman"/>
          <w:sz w:val="24"/>
          <w:szCs w:val="24"/>
        </w:rPr>
        <w:t>.</w:t>
      </w:r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330469" w:rsidRPr="005D70C3">
        <w:rPr>
          <w:rFonts w:ascii="Times New Roman" w:hAnsi="Times New Roman" w:cs="Times New Roman"/>
          <w:sz w:val="24"/>
          <w:szCs w:val="24"/>
        </w:rPr>
        <w:t>E</w:t>
      </w:r>
      <w:r w:rsidRPr="005D70C3">
        <w:rPr>
          <w:rFonts w:ascii="Times New Roman" w:hAnsi="Times New Roman" w:cs="Times New Roman"/>
          <w:sz w:val="24"/>
          <w:szCs w:val="24"/>
        </w:rPr>
        <w:t xml:space="preserve">t non tantum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vnius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specula nobis sunt proposita. </w:t>
      </w:r>
      <w:r w:rsidR="002B2B15" w:rsidRPr="005D70C3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Augustinu</w:t>
      </w:r>
      <w:r w:rsidR="002B2B15" w:rsidRPr="005D70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Pr="005D70C3">
        <w:rPr>
          <w:rFonts w:ascii="Times New Roman" w:hAnsi="Times New Roman" w:cs="Times New Roman"/>
          <w:i/>
          <w:sz w:val="24"/>
          <w:szCs w:val="24"/>
        </w:rPr>
        <w:t>De</w:t>
      </w:r>
      <w:r w:rsidR="002B2B15"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2B15" w:rsidRPr="005D70C3">
        <w:rPr>
          <w:rFonts w:ascii="Times New Roman" w:hAnsi="Times New Roman" w:cs="Times New Roman"/>
          <w:i/>
          <w:sz w:val="24"/>
          <w:szCs w:val="24"/>
        </w:rPr>
        <w:t>vtilitate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penitenti</w:t>
      </w:r>
      <w:r w:rsidR="002B2B15" w:rsidRPr="005D70C3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quomodo sit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viue</w:t>
      </w:r>
      <w:r w:rsidR="002B2B15" w:rsidRPr="005D70C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lastRenderedPageBreak/>
        <w:t>tu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queris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habeas, 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imitentur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ostendas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Christum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attende</w:t>
      </w:r>
      <w:r w:rsidR="002B2B15" w:rsidRPr="005D70C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apostolos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nouissimus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qui dicit [1 Cor. 4:16]: </w:t>
      </w:r>
      <w:proofErr w:type="spellStart"/>
      <w:r w:rsidR="002B2B15" w:rsidRPr="005D70C3">
        <w:rPr>
          <w:rFonts w:ascii="Times New Roman" w:hAnsi="Times New Roman" w:cs="Times New Roman"/>
          <w:i/>
          <w:sz w:val="24"/>
          <w:szCs w:val="24"/>
        </w:rPr>
        <w:t>Estote</w:t>
      </w:r>
      <w:proofErr w:type="spellEnd"/>
      <w:r w:rsidR="002B2B15"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2B15" w:rsidRPr="005D70C3">
        <w:rPr>
          <w:rFonts w:ascii="Times New Roman" w:hAnsi="Times New Roman" w:cs="Times New Roman"/>
          <w:i/>
          <w:sz w:val="24"/>
          <w:szCs w:val="24"/>
        </w:rPr>
        <w:t>i</w:t>
      </w:r>
      <w:r w:rsidRPr="005D70C3">
        <w:rPr>
          <w:rFonts w:ascii="Times New Roman" w:hAnsi="Times New Roman" w:cs="Times New Roman"/>
          <w:i/>
          <w:sz w:val="24"/>
          <w:szCs w:val="24"/>
        </w:rPr>
        <w:t>mitatores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B15" w:rsidRPr="005D70C3">
        <w:rPr>
          <w:rFonts w:ascii="Times New Roman" w:hAnsi="Times New Roman" w:cs="Times New Roman"/>
          <w:iCs/>
          <w:sz w:val="24"/>
          <w:szCs w:val="24"/>
        </w:rPr>
        <w:t>Deo</w:t>
      </w:r>
      <w:r w:rsidRPr="005D70C3">
        <w:rPr>
          <w:rFonts w:ascii="Times New Roman" w:hAnsi="Times New Roman" w:cs="Times New Roman"/>
          <w:i/>
          <w:sz w:val="24"/>
          <w:szCs w:val="24"/>
        </w:rPr>
        <w:t>, sicut et ego Christi</w:t>
      </w:r>
      <w:r w:rsidRPr="005D70C3">
        <w:rPr>
          <w:rFonts w:ascii="Times New Roman" w:hAnsi="Times New Roman" w:cs="Times New Roman"/>
          <w:sz w:val="24"/>
          <w:szCs w:val="24"/>
        </w:rPr>
        <w:t>. A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ttende</w:t>
      </w:r>
      <w:proofErr w:type="spellEnd"/>
      <w:r w:rsidR="002B2B15" w:rsidRPr="005D70C3">
        <w:rPr>
          <w:rFonts w:ascii="Times New Roman" w:hAnsi="Times New Roman" w:cs="Times New Roman"/>
          <w:sz w:val="24"/>
          <w:szCs w:val="24"/>
        </w:rPr>
        <w:t xml:space="preserve"> animo</w:t>
      </w:r>
      <w:r w:rsidRPr="005D70C3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martirum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milia.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videbis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viros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femminas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pueros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puellas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imprudencia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dec</w:t>
      </w:r>
      <w:r w:rsidR="002B2B15" w:rsidRPr="005D70C3">
        <w:rPr>
          <w:rFonts w:ascii="Times New Roman" w:hAnsi="Times New Roman" w:cs="Times New Roman"/>
          <w:sz w:val="24"/>
          <w:szCs w:val="24"/>
        </w:rPr>
        <w:t>e</w:t>
      </w:r>
      <w:r w:rsidRPr="005D70C3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iniquitate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peruerti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per</w:t>
      </w:r>
      <w:r w:rsidR="002B2B15" w:rsidRPr="005D70C3">
        <w:rPr>
          <w:rFonts w:ascii="Times New Roman" w:hAnsi="Times New Roman" w:cs="Times New Roman"/>
          <w:sz w:val="24"/>
          <w:szCs w:val="24"/>
        </w:rPr>
        <w:t>cussi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frangi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amore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corrumpi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FF27A" w14:textId="77777777" w:rsidR="00974E4C" w:rsidRDefault="002B2B15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sanctorum exempla sunt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pulcra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sp</w:t>
      </w:r>
      <w:r w:rsidR="000D464E">
        <w:rPr>
          <w:rFonts w:ascii="Times New Roman" w:hAnsi="Times New Roman" w:cs="Times New Roman"/>
          <w:sz w:val="24"/>
          <w:szCs w:val="24"/>
        </w:rPr>
        <w:t>l</w:t>
      </w:r>
      <w:r w:rsidRPr="005D70C3">
        <w:rPr>
          <w:rFonts w:ascii="Times New Roman" w:hAnsi="Times New Roman" w:cs="Times New Roman"/>
          <w:sz w:val="24"/>
          <w:szCs w:val="24"/>
        </w:rPr>
        <w:t>e</w:t>
      </w:r>
      <w:r w:rsidR="000D464E">
        <w:rPr>
          <w:rFonts w:ascii="Times New Roman" w:hAnsi="Times New Roman" w:cs="Times New Roman"/>
          <w:sz w:val="24"/>
          <w:szCs w:val="24"/>
        </w:rPr>
        <w:t>n</w:t>
      </w:r>
      <w:r w:rsidRPr="005D70C3">
        <w:rPr>
          <w:rFonts w:ascii="Times New Roman" w:hAnsi="Times New Roman" w:cs="Times New Roman"/>
          <w:sz w:val="24"/>
          <w:szCs w:val="24"/>
        </w:rPr>
        <w:t>d</w:t>
      </w:r>
      <w:r w:rsidR="000D464E">
        <w:rPr>
          <w:rFonts w:ascii="Times New Roman" w:hAnsi="Times New Roman" w:cs="Times New Roman"/>
          <w:sz w:val="24"/>
          <w:szCs w:val="24"/>
        </w:rPr>
        <w:t>i</w:t>
      </w:r>
      <w:r w:rsidRPr="005D70C3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monet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Christus, Matt. 5[:16]: </w:t>
      </w:r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Sic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luceat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 lux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hominibus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videant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 opera </w:t>
      </w:r>
      <w:proofErr w:type="spellStart"/>
      <w:r w:rsidR="00096876" w:rsidRPr="005D70C3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="00096876" w:rsidRPr="005D70C3">
        <w:rPr>
          <w:rFonts w:ascii="Times New Roman" w:hAnsi="Times New Roman" w:cs="Times New Roman"/>
          <w:i/>
          <w:sz w:val="24"/>
          <w:szCs w:val="24"/>
        </w:rPr>
        <w:t xml:space="preserve"> bona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Gaufro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Glarens</w:t>
      </w:r>
      <w:r w:rsidR="000D464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c</w:t>
      </w:r>
      <w:r w:rsidR="000D464E">
        <w:rPr>
          <w:rFonts w:ascii="Times New Roman" w:hAnsi="Times New Roman" w:cs="Times New Roman"/>
          <w:sz w:val="24"/>
          <w:szCs w:val="24"/>
        </w:rPr>
        <w:t>ommen</w:t>
      </w:r>
      <w:r w:rsidR="00321E3F" w:rsidRPr="005D70C3">
        <w:rPr>
          <w:rFonts w:ascii="Times New Roman" w:hAnsi="Times New Roman" w:cs="Times New Roman"/>
          <w:sz w:val="24"/>
          <w:szCs w:val="24"/>
        </w:rPr>
        <w:t xml:space="preserve">tor super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Persium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satiricum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apud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Athenienses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fiebant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ludi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currentibus</w:t>
      </w:r>
      <w:proofErr w:type="spellEnd"/>
      <w:r w:rsidR="007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pueris</w:t>
      </w:r>
      <w:proofErr w:type="spellEnd"/>
      <w:r w:rsidR="000D464E">
        <w:rPr>
          <w:rFonts w:ascii="Times New Roman" w:hAnsi="Times New Roman" w:cs="Times New Roman"/>
          <w:sz w:val="24"/>
          <w:szCs w:val="24"/>
        </w:rPr>
        <w:t>.</w:t>
      </w:r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0D464E">
        <w:rPr>
          <w:rFonts w:ascii="Times New Roman" w:hAnsi="Times New Roman" w:cs="Times New Roman"/>
          <w:sz w:val="24"/>
          <w:szCs w:val="24"/>
        </w:rPr>
        <w:t>Q</w:t>
      </w:r>
      <w:r w:rsidR="00321E3F" w:rsidRPr="005D70C3">
        <w:rPr>
          <w:rFonts w:ascii="Times New Roman" w:hAnsi="Times New Roman" w:cs="Times New Roman"/>
          <w:sz w:val="24"/>
          <w:szCs w:val="24"/>
        </w:rPr>
        <w:t xml:space="preserve">ui victor primus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="0075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ardentem</w:t>
      </w:r>
      <w:proofErr w:type="spellEnd"/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F" w:rsidRPr="005D70C3">
        <w:rPr>
          <w:rFonts w:ascii="Times New Roman" w:hAnsi="Times New Roman" w:cs="Times New Roman"/>
          <w:sz w:val="24"/>
          <w:szCs w:val="24"/>
        </w:rPr>
        <w:t>tollebat</w:t>
      </w:r>
      <w:proofErr w:type="spellEnd"/>
      <w:r w:rsidR="00751591">
        <w:rPr>
          <w:rFonts w:ascii="Times New Roman" w:hAnsi="Times New Roman" w:cs="Times New Roman"/>
          <w:sz w:val="24"/>
          <w:szCs w:val="24"/>
        </w:rPr>
        <w:t>,</w:t>
      </w:r>
      <w:r w:rsidR="00321E3F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de</w:t>
      </w:r>
      <w:r w:rsidR="000D464E">
        <w:rPr>
          <w:rFonts w:ascii="Times New Roman" w:hAnsi="Times New Roman" w:cs="Times New Roman"/>
          <w:sz w:val="24"/>
          <w:szCs w:val="24"/>
        </w:rPr>
        <w:t>mu</w:t>
      </w:r>
      <w:r w:rsidR="007154F3" w:rsidRPr="005D70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pro</w:t>
      </w:r>
      <w:r w:rsidR="000A7A34" w:rsidRPr="005D70C3">
        <w:rPr>
          <w:rFonts w:ascii="Times New Roman" w:hAnsi="Times New Roman" w:cs="Times New Roman"/>
          <w:sz w:val="24"/>
          <w:szCs w:val="24"/>
        </w:rPr>
        <w:t>x</w:t>
      </w:r>
      <w:r w:rsidR="007154F3" w:rsidRPr="005D70C3">
        <w:rPr>
          <w:rFonts w:ascii="Times New Roman" w:hAnsi="Times New Roman" w:cs="Times New Roman"/>
          <w:sz w:val="24"/>
          <w:szCs w:val="24"/>
        </w:rPr>
        <w:t xml:space="preserve">imo die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sequenti</w:t>
      </w:r>
      <w:proofErr w:type="spellEnd"/>
      <w:r w:rsidR="000D464E">
        <w:rPr>
          <w:rFonts w:ascii="Times New Roman" w:hAnsi="Times New Roman" w:cs="Times New Roman"/>
          <w:sz w:val="24"/>
          <w:szCs w:val="24"/>
        </w:rPr>
        <w:t>.</w:t>
      </w:r>
      <w:r w:rsidR="007154F3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64E">
        <w:rPr>
          <w:rFonts w:ascii="Times New Roman" w:hAnsi="Times New Roman" w:cs="Times New Roman"/>
          <w:sz w:val="24"/>
          <w:szCs w:val="24"/>
        </w:rPr>
        <w:t>D</w:t>
      </w:r>
      <w:r w:rsidR="007154F3" w:rsidRPr="005D70C3">
        <w:rPr>
          <w:rFonts w:ascii="Times New Roman" w:hAnsi="Times New Roman" w:cs="Times New Roman"/>
          <w:sz w:val="24"/>
          <w:szCs w:val="24"/>
        </w:rPr>
        <w:t>abat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tercio et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quarto et sic per ordinem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dabat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3" w:rsidRPr="005D70C3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7154F3"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omnes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cucurrissent</w:t>
      </w:r>
      <w:proofErr w:type="spellEnd"/>
      <w:r w:rsidR="00A93190">
        <w:rPr>
          <w:rFonts w:ascii="Times New Roman" w:hAnsi="Times New Roman" w:cs="Times New Roman"/>
          <w:sz w:val="24"/>
          <w:szCs w:val="24"/>
        </w:rPr>
        <w:t>.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A93190">
        <w:rPr>
          <w:rFonts w:ascii="Times New Roman" w:hAnsi="Times New Roman" w:cs="Times New Roman"/>
          <w:sz w:val="24"/>
          <w:szCs w:val="24"/>
        </w:rPr>
        <w:t>A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tractus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ludus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puerorum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sedencium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tradit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accensam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7B" w:rsidRPr="005D70C3">
        <w:rPr>
          <w:rFonts w:ascii="Times New Roman" w:hAnsi="Times New Roman" w:cs="Times New Roman"/>
          <w:sz w:val="24"/>
          <w:szCs w:val="24"/>
        </w:rPr>
        <w:t>extinguatur</w:t>
      </w:r>
      <w:proofErr w:type="spellEnd"/>
      <w:r w:rsidR="00A93190">
        <w:rPr>
          <w:rFonts w:ascii="Times New Roman" w:hAnsi="Times New Roman" w:cs="Times New Roman"/>
          <w:sz w:val="24"/>
          <w:szCs w:val="24"/>
        </w:rPr>
        <w:t>.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A93190">
        <w:rPr>
          <w:rFonts w:ascii="Times New Roman" w:hAnsi="Times New Roman" w:cs="Times New Roman"/>
          <w:sz w:val="24"/>
          <w:szCs w:val="24"/>
        </w:rPr>
        <w:t>D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icent </w:t>
      </w:r>
      <w:proofErr w:type="gramStart"/>
      <w:r w:rsidR="0017037B" w:rsidRPr="005D70C3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gramEnd"/>
      <w:r w:rsidR="0017037B" w:rsidRPr="005D70C3">
        <w:rPr>
          <w:rFonts w:ascii="Times New Roman" w:hAnsi="Times New Roman" w:cs="Times New Roman"/>
          <w:b/>
          <w:bCs/>
          <w:sz w:val="24"/>
          <w:szCs w:val="24"/>
        </w:rPr>
        <w:t xml:space="preserve"> bet sturdy</w:t>
      </w:r>
      <w:r w:rsidR="0017037B"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220E1" w14:textId="77777777" w:rsidR="00974E4C" w:rsidRDefault="0017037B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Sic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moraliter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quilibet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prebere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alteri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bonum</w:t>
      </w:r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r w:rsidRPr="005D70C3"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accensam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0A7A34" w:rsidRPr="005D70C3">
        <w:rPr>
          <w:rFonts w:ascii="Times New Roman" w:hAnsi="Times New Roman" w:cs="Times New Roman"/>
          <w:sz w:val="24"/>
          <w:szCs w:val="24"/>
        </w:rPr>
        <w:t>numerus</w:t>
      </w:r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r w:rsidR="000A7A34" w:rsidRPr="005D70C3">
        <w:rPr>
          <w:rFonts w:ascii="Times New Roman" w:hAnsi="Times New Roman" w:cs="Times New Roman"/>
          <w:sz w:val="24"/>
          <w:szCs w:val="24"/>
        </w:rPr>
        <w:t xml:space="preserve">omnium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currencium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saluandorum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in fine mundi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compleatur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. Sed ab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cursu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ministrando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refleccio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intuitus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qua homo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paruipendit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ali</w:t>
      </w:r>
      <w:r w:rsidR="00E43945" w:rsidRPr="005D70C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magnificat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A34" w:rsidRPr="005D70C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0A7A34" w:rsidRPr="005D70C3">
        <w:rPr>
          <w:rFonts w:ascii="Times New Roman" w:hAnsi="Times New Roman" w:cs="Times New Roman"/>
          <w:sz w:val="24"/>
          <w:szCs w:val="24"/>
        </w:rPr>
        <w:t xml:space="preserve">. 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Venator,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tigride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absente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furatur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catul</w:t>
      </w:r>
      <w:r w:rsidR="00E43945" w:rsidRPr="005D70C3">
        <w:rPr>
          <w:rFonts w:ascii="Times New Roman" w:hAnsi="Times New Roman" w:cs="Times New Roman"/>
          <w:sz w:val="24"/>
          <w:szCs w:val="24"/>
        </w:rPr>
        <w:t>o</w:t>
      </w:r>
      <w:r w:rsidR="00096876" w:rsidRPr="005D70C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tigridis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in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equo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velocissimo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abscedit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. Specula per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itineris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>.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Tigridis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reueniens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r w:rsidR="00E43945" w:rsidRPr="005D70C3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inueniens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venatorem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>.</w:t>
      </w:r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r w:rsidR="00F51445" w:rsidRPr="005D70C3">
        <w:rPr>
          <w:rFonts w:ascii="Times New Roman" w:hAnsi="Times New Roman" w:cs="Times New Roman"/>
          <w:sz w:val="24"/>
          <w:szCs w:val="24"/>
        </w:rPr>
        <w:t>S</w:t>
      </w:r>
      <w:r w:rsidR="00E43945" w:rsidRPr="005D70C3">
        <w:rPr>
          <w:rFonts w:ascii="Times New Roman" w:hAnsi="Times New Roman" w:cs="Times New Roman"/>
          <w:sz w:val="24"/>
          <w:szCs w:val="24"/>
        </w:rPr>
        <w:t xml:space="preserve">pecula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inspicit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in quibus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catulum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reperisse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credit. </w:t>
      </w:r>
      <w:proofErr w:type="spellStart"/>
      <w:r w:rsidR="00E43945" w:rsidRPr="005D70C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E439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F51445" w:rsidRPr="005D70C3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tradatur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venator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euadit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66A5D" w14:textId="5DC385C8" w:rsidR="00F51445" w:rsidRPr="005D70C3" w:rsidRDefault="00F51445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Sic venator diabolus </w:t>
      </w:r>
      <w:r w:rsidRPr="005D70C3">
        <w:rPr>
          <w:rFonts w:ascii="Times New Roman" w:hAnsi="Times New Roman" w:cs="Times New Roman"/>
          <w:sz w:val="24"/>
          <w:szCs w:val="24"/>
        </w:rPr>
        <w:t>bona</w:t>
      </w:r>
      <w:r w:rsidRPr="005D70C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 w:rsidR="00096876" w:rsidRPr="005D70C3">
        <w:rPr>
          <w:rFonts w:ascii="Times New Roman" w:hAnsi="Times New Roman" w:cs="Times New Roman"/>
          <w:sz w:val="24"/>
          <w:szCs w:val="24"/>
        </w:rPr>
        <w:t>opera</w:t>
      </w:r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catulos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inde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tollit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. </w:t>
      </w:r>
      <w:r w:rsidRPr="005D70C3">
        <w:rPr>
          <w:rFonts w:ascii="Times New Roman" w:hAnsi="Times New Roman" w:cs="Times New Roman"/>
          <w:sz w:val="24"/>
          <w:szCs w:val="24"/>
        </w:rPr>
        <w:t>Et</w:t>
      </w:r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re</w:t>
      </w:r>
      <w:r w:rsidRPr="005D70C3">
        <w:rPr>
          <w:rFonts w:ascii="Times New Roman" w:hAnsi="Times New Roman" w:cs="Times New Roman"/>
          <w:sz w:val="24"/>
          <w:szCs w:val="24"/>
        </w:rPr>
        <w:t>cu</w:t>
      </w:r>
      <w:r w:rsidR="00096876" w:rsidRPr="005D70C3">
        <w:rPr>
          <w:rFonts w:ascii="Times New Roman" w:hAnsi="Times New Roman" w:cs="Times New Roman"/>
          <w:sz w:val="24"/>
          <w:szCs w:val="24"/>
        </w:rPr>
        <w:t>p</w:t>
      </w:r>
      <w:r w:rsidRPr="005D70C3">
        <w:rPr>
          <w:rFonts w:ascii="Times New Roman" w:hAnsi="Times New Roman" w:cs="Times New Roman"/>
          <w:sz w:val="24"/>
          <w:szCs w:val="24"/>
        </w:rPr>
        <w:t>e</w:t>
      </w:r>
      <w:r w:rsidR="00096876" w:rsidRPr="005D70C3">
        <w:rPr>
          <w:rFonts w:ascii="Times New Roman" w:hAnsi="Times New Roman" w:cs="Times New Roman"/>
          <w:sz w:val="24"/>
          <w:szCs w:val="24"/>
        </w:rPr>
        <w:t>randum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bona opera per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intuitu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excellencie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876" w:rsidRPr="005D70C3">
        <w:rPr>
          <w:rFonts w:ascii="Times New Roman" w:hAnsi="Times New Roman" w:cs="Times New Roman"/>
          <w:sz w:val="24"/>
          <w:szCs w:val="24"/>
        </w:rPr>
        <w:t>deluditur</w:t>
      </w:r>
      <w:proofErr w:type="spellEnd"/>
      <w:r w:rsidR="00096876" w:rsidRPr="005D70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30313F" w14:textId="01FBF511" w:rsidR="00F51445" w:rsidRPr="005D70C3" w:rsidRDefault="00F51445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>/fol. 295rb/</w:t>
      </w:r>
    </w:p>
    <w:p w14:paraId="35552C1B" w14:textId="77777777" w:rsidR="00974E4C" w:rsidRDefault="00096876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lastRenderedPageBreak/>
        <w:t xml:space="preserve">et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vicia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virtutes </w:t>
      </w:r>
      <w:r w:rsidR="00D53A0C">
        <w:rPr>
          <w:rFonts w:ascii="Times New Roman" w:hAnsi="Times New Roman" w:cs="Times New Roman"/>
          <w:sz w:val="24"/>
          <w:szCs w:val="24"/>
        </w:rPr>
        <w:t>esse</w:t>
      </w:r>
      <w:r w:rsidRPr="005D70C3">
        <w:rPr>
          <w:rFonts w:ascii="Times New Roman" w:hAnsi="Times New Roman" w:cs="Times New Roman"/>
          <w:sz w:val="24"/>
          <w:szCs w:val="24"/>
        </w:rPr>
        <w:t xml:space="preserve"> credit.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karissimi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benefacta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="00974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445" w:rsidRPr="005D70C3">
        <w:rPr>
          <w:rFonts w:ascii="Times New Roman" w:hAnsi="Times New Roman" w:cs="Times New Roman"/>
          <w:sz w:val="24"/>
          <w:szCs w:val="24"/>
        </w:rPr>
        <w:t>intueri</w:t>
      </w:r>
      <w:proofErr w:type="spellEnd"/>
      <w:r w:rsidR="00F51445" w:rsidRPr="005D7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D75A8" w14:textId="0B4FC6E3" w:rsidR="00096876" w:rsidRPr="005D70C3" w:rsidRDefault="005D70C3" w:rsidP="007515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D70C3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 xml:space="preserve">Et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genera non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auctorem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respicere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incuruati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elongati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iniquitatem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captiuati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penalitatem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Incuruabit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originalis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firmitas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Elongabit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actuales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iniquitas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Captiuabit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temptacionum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penalitas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Contra primum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euangeli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D70C3">
        <w:rPr>
          <w:rFonts w:ascii="Times New Roman" w:hAnsi="Times New Roman" w:cs="Times New Roman"/>
          <w:sz w:val="24"/>
          <w:szCs w:val="24"/>
        </w:rPr>
        <w:t xml:space="preserve">Luc. 21:28]: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Levate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capita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Contra s</w:t>
      </w:r>
      <w:r w:rsidRPr="005D70C3">
        <w:rPr>
          <w:rFonts w:ascii="Times New Roman" w:hAnsi="Times New Roman" w:cs="Times New Roman"/>
          <w:sz w:val="24"/>
          <w:szCs w:val="24"/>
        </w:rPr>
        <w:t xml:space="preserve">ecundum, ecce </w:t>
      </w:r>
      <w:proofErr w:type="spellStart"/>
      <w:r w:rsidRPr="005D70C3">
        <w:rPr>
          <w:rFonts w:ascii="Times New Roman" w:hAnsi="Times New Roman" w:cs="Times New Roman"/>
          <w:iCs/>
          <w:sz w:val="24"/>
          <w:szCs w:val="24"/>
        </w:rPr>
        <w:t>appropinqua</w:t>
      </w:r>
      <w:r w:rsidR="00442DBE">
        <w:rPr>
          <w:rFonts w:ascii="Times New Roman" w:hAnsi="Times New Roman" w:cs="Times New Roman"/>
          <w:iCs/>
          <w:sz w:val="24"/>
          <w:szCs w:val="24"/>
        </w:rPr>
        <w:t>bi</w:t>
      </w:r>
      <w:r w:rsidRPr="005D70C3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Pr="005D70C3">
        <w:rPr>
          <w:rFonts w:ascii="Times New Roman" w:hAnsi="Times New Roman" w:cs="Times New Roman"/>
          <w:iCs/>
          <w:sz w:val="24"/>
          <w:szCs w:val="24"/>
        </w:rPr>
        <w:t>.</w:t>
      </w:r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0C3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Pr="005D70C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redemptio</w:t>
      </w:r>
      <w:proofErr w:type="spellEnd"/>
      <w:r w:rsidRPr="005D70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D70C3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5D70C3">
        <w:rPr>
          <w:rFonts w:ascii="Times New Roman" w:hAnsi="Times New Roman" w:cs="Times New Roman"/>
          <w:sz w:val="24"/>
          <w:szCs w:val="24"/>
        </w:rPr>
        <w:t>.</w:t>
      </w:r>
    </w:p>
    <w:sectPr w:rsidR="00096876" w:rsidRPr="005D70C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457F" w14:textId="77777777" w:rsidR="00096876" w:rsidRDefault="00096876" w:rsidP="00096876">
      <w:pPr>
        <w:spacing w:after="0" w:line="240" w:lineRule="auto"/>
      </w:pPr>
      <w:r>
        <w:separator/>
      </w:r>
    </w:p>
  </w:endnote>
  <w:endnote w:type="continuationSeparator" w:id="0">
    <w:p w14:paraId="0EC70DAD" w14:textId="77777777" w:rsidR="00096876" w:rsidRDefault="00096876" w:rsidP="0009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A385" w14:textId="77777777" w:rsidR="00096876" w:rsidRDefault="00096876" w:rsidP="00096876">
      <w:pPr>
        <w:spacing w:after="0" w:line="240" w:lineRule="auto"/>
      </w:pPr>
      <w:r>
        <w:separator/>
      </w:r>
    </w:p>
  </w:footnote>
  <w:footnote w:type="continuationSeparator" w:id="0">
    <w:p w14:paraId="3B398D57" w14:textId="77777777" w:rsidR="00096876" w:rsidRDefault="00096876" w:rsidP="00096876">
      <w:pPr>
        <w:spacing w:after="0" w:line="240" w:lineRule="auto"/>
      </w:pPr>
      <w:r>
        <w:continuationSeparator/>
      </w:r>
    </w:p>
  </w:footnote>
  <w:footnote w:id="1">
    <w:p w14:paraId="7F0BE317" w14:textId="6EEECED5" w:rsidR="00AB4ECA" w:rsidRPr="00F51445" w:rsidRDefault="00AB4EC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5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51445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F5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F51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1445">
        <w:rPr>
          <w:rFonts w:ascii="Times New Roman" w:hAnsi="Times New Roman" w:cs="Times New Roman"/>
          <w:sz w:val="24"/>
          <w:szCs w:val="24"/>
        </w:rPr>
        <w:t>F 80.</w:t>
      </w:r>
    </w:p>
  </w:footnote>
  <w:footnote w:id="2">
    <w:p w14:paraId="034B621E" w14:textId="6A9B9694" w:rsidR="00F51445" w:rsidRPr="00F51445" w:rsidRDefault="00F5144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51445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445">
        <w:rPr>
          <w:rFonts w:ascii="Times New Roman" w:hAnsi="Times New Roman" w:cs="Times New Roman"/>
          <w:sz w:val="24"/>
          <w:szCs w:val="24"/>
        </w:rPr>
        <w:t>bona ]</w:t>
      </w:r>
      <w:proofErr w:type="gramEnd"/>
      <w:r w:rsidRPr="00F51445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F51445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0"/>
    <w:rsid w:val="00096876"/>
    <w:rsid w:val="000A7A34"/>
    <w:rsid w:val="000D464E"/>
    <w:rsid w:val="000E3937"/>
    <w:rsid w:val="0017037B"/>
    <w:rsid w:val="00170511"/>
    <w:rsid w:val="0017226C"/>
    <w:rsid w:val="002B2B15"/>
    <w:rsid w:val="00321E3F"/>
    <w:rsid w:val="00330469"/>
    <w:rsid w:val="003812A0"/>
    <w:rsid w:val="003E78EA"/>
    <w:rsid w:val="00433B90"/>
    <w:rsid w:val="00442DBE"/>
    <w:rsid w:val="005D70C3"/>
    <w:rsid w:val="0060075B"/>
    <w:rsid w:val="0063420F"/>
    <w:rsid w:val="007154F3"/>
    <w:rsid w:val="00751591"/>
    <w:rsid w:val="008E3C78"/>
    <w:rsid w:val="00924763"/>
    <w:rsid w:val="009649A0"/>
    <w:rsid w:val="00974E4C"/>
    <w:rsid w:val="009E3723"/>
    <w:rsid w:val="00A93190"/>
    <w:rsid w:val="00AB4ECA"/>
    <w:rsid w:val="00B23E37"/>
    <w:rsid w:val="00B3541A"/>
    <w:rsid w:val="00D53A0C"/>
    <w:rsid w:val="00E43945"/>
    <w:rsid w:val="00F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88FA"/>
  <w15:chartTrackingRefBased/>
  <w15:docId w15:val="{BA8452CF-0ABC-439A-B5B9-6F426FD1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2A0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unhideWhenUsed/>
    <w:rsid w:val="00096876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96876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96876"/>
    <w:rPr>
      <w:vertAlign w:val="superscript"/>
    </w:rPr>
  </w:style>
  <w:style w:type="character" w:customStyle="1" w:styleId="highlight">
    <w:name w:val="highlight"/>
    <w:basedOn w:val="DefaultParagraphFont"/>
    <w:rsid w:val="00096876"/>
  </w:style>
  <w:style w:type="character" w:styleId="Hyperlink">
    <w:name w:val="Hyperlink"/>
    <w:basedOn w:val="DefaultParagraphFont"/>
    <w:uiPriority w:val="99"/>
    <w:semiHidden/>
    <w:unhideWhenUsed/>
    <w:rsid w:val="0009687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E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E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4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2B75-3E34-4ED4-824C-7F24D664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2024-06-19T19:37:00Z</dcterms:created>
  <dcterms:modified xsi:type="dcterms:W3CDTF">2024-06-19T19:51:00Z</dcterms:modified>
</cp:coreProperties>
</file>