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7B6C" w14:textId="73385F8E" w:rsidR="00433B90" w:rsidRPr="005F5449" w:rsidRDefault="005F544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544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FAEC5D2" w14:textId="56CA4A39" w:rsidR="005F5449" w:rsidRPr="005F5449" w:rsidRDefault="005F544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5449">
        <w:rPr>
          <w:rFonts w:ascii="Times New Roman" w:hAnsi="Times New Roman" w:cs="Times New Roman"/>
          <w:sz w:val="24"/>
          <w:szCs w:val="24"/>
        </w:rPr>
        <w:t xml:space="preserve">188 </w:t>
      </w:r>
      <w:proofErr w:type="spellStart"/>
      <w:r w:rsidRPr="005F5449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5F5449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5F544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F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449">
        <w:rPr>
          <w:rFonts w:ascii="Times New Roman" w:hAnsi="Times New Roman" w:cs="Times New Roman"/>
          <w:sz w:val="24"/>
          <w:szCs w:val="24"/>
        </w:rPr>
        <w:t>genus</w:t>
      </w:r>
      <w:proofErr w:type="gramEnd"/>
    </w:p>
    <w:p w14:paraId="2009D722" w14:textId="52DEF552" w:rsidR="005F5449" w:rsidRDefault="005F544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449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F5449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5F544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F5449">
        <w:rPr>
          <w:rFonts w:ascii="Times New Roman" w:hAnsi="Times New Roman" w:cs="Times New Roman"/>
          <w:sz w:val="24"/>
          <w:szCs w:val="24"/>
        </w:rPr>
        <w:t xml:space="preserve"> genus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latens</w:t>
      </w:r>
      <w:r w:rsidR="002431B0">
        <w:rPr>
          <w:rFonts w:ascii="Times New Roman" w:hAnsi="Times New Roman" w:cs="Times New Roman"/>
          <w:sz w:val="24"/>
          <w:szCs w:val="24"/>
        </w:rPr>
        <w:t>,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patens et ab </w:t>
      </w:r>
      <w:proofErr w:type="spellStart"/>
      <w:r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3702F3FE" w14:textId="2E3D3D32" w:rsidR="005F5449" w:rsidRDefault="005F544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280va/</w:t>
      </w:r>
    </w:p>
    <w:p w14:paraId="1FE47FB5" w14:textId="77777777" w:rsidR="0078381E" w:rsidRDefault="005F544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latens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deordinacionem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anime.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Deordinatur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noxium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mundanum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irascibilis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per humanum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dissuadet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scriptura. Primo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deordinet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rationalem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. Nam sicut qui credit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leuia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descendere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grauia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ascendere</w:t>
      </w:r>
      <w:proofErr w:type="spellEnd"/>
      <w:r w:rsidR="002431B0">
        <w:rPr>
          <w:rFonts w:ascii="Times New Roman" w:hAnsi="Times New Roman" w:cs="Times New Roman"/>
          <w:sz w:val="24"/>
          <w:szCs w:val="24"/>
        </w:rPr>
        <w:t>,</w:t>
      </w:r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errat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>.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F62207">
        <w:rPr>
          <w:rFonts w:ascii="Times New Roman" w:hAnsi="Times New Roman" w:cs="Times New Roman"/>
          <w:sz w:val="24"/>
          <w:szCs w:val="24"/>
        </w:rPr>
        <w:t xml:space="preserve">Sic qui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et qui credit se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>,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F62207">
        <w:rPr>
          <w:rFonts w:ascii="Times New Roman" w:hAnsi="Times New Roman" w:cs="Times New Roman"/>
          <w:sz w:val="24"/>
          <w:szCs w:val="24"/>
        </w:rPr>
        <w:t>[1] Cor. 6[:9</w:t>
      </w:r>
      <w:r w:rsidR="000C2F20">
        <w:rPr>
          <w:rFonts w:ascii="Times New Roman" w:hAnsi="Times New Roman" w:cs="Times New Roman"/>
          <w:sz w:val="24"/>
          <w:szCs w:val="24"/>
        </w:rPr>
        <w:t>-10</w:t>
      </w:r>
      <w:r w:rsidR="00F62207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>errare</w:t>
      </w:r>
      <w:proofErr w:type="spellEnd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2207" w:rsidRPr="00B16A13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F62207" w:rsidRPr="00B16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F62207" w:rsidRPr="00F62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i/>
          <w:iCs/>
          <w:sz w:val="24"/>
          <w:szCs w:val="24"/>
        </w:rPr>
        <w:t>fornicarii</w:t>
      </w:r>
      <w:proofErr w:type="spellEnd"/>
      <w:r w:rsidR="00F622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6220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07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F62207">
        <w:rPr>
          <w:rFonts w:ascii="Times New Roman" w:hAnsi="Times New Roman" w:cs="Times New Roman"/>
          <w:sz w:val="24"/>
          <w:szCs w:val="24"/>
        </w:rPr>
        <w:t xml:space="preserve"> </w:t>
      </w:r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 xml:space="preserve">regnum Dei </w:t>
      </w:r>
      <w:proofErr w:type="spellStart"/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>possidebunt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. Ecce denarius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0C2F20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emitur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proditur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>, Gal</w:t>
      </w:r>
      <w:r w:rsidR="0078381E">
        <w:rPr>
          <w:rFonts w:ascii="Times New Roman" w:hAnsi="Times New Roman" w:cs="Times New Roman"/>
          <w:sz w:val="24"/>
          <w:szCs w:val="24"/>
        </w:rPr>
        <w:t>.</w:t>
      </w:r>
      <w:r w:rsidR="000C2F20">
        <w:rPr>
          <w:rFonts w:ascii="Times New Roman" w:hAnsi="Times New Roman" w:cs="Times New Roman"/>
          <w:sz w:val="24"/>
          <w:szCs w:val="24"/>
        </w:rPr>
        <w:t xml:space="preserve"> 6[:7</w:t>
      </w:r>
      <w:r w:rsidR="00B16A13">
        <w:rPr>
          <w:rFonts w:ascii="Times New Roman" w:hAnsi="Times New Roman" w:cs="Times New Roman"/>
          <w:sz w:val="24"/>
          <w:szCs w:val="24"/>
        </w:rPr>
        <w:t>-8</w:t>
      </w:r>
      <w:r w:rsidR="000C2F20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>errare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, scilicet, male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opinando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>,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0C2F20" w:rsidRPr="000C2F20">
        <w:rPr>
          <w:rFonts w:ascii="Times New Roman" w:hAnsi="Times New Roman" w:cs="Times New Roman"/>
          <w:i/>
          <w:iCs/>
          <w:sz w:val="24"/>
          <w:szCs w:val="24"/>
        </w:rPr>
        <w:t>irridetur</w:t>
      </w:r>
      <w:proofErr w:type="spellEnd"/>
      <w:r w:rsidR="000C2F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C2F20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decipitur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. </w:t>
      </w:r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783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>seminauerit</w:t>
      </w:r>
      <w:proofErr w:type="spellEnd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>metet</w:t>
      </w:r>
      <w:proofErr w:type="spellEnd"/>
      <w:r w:rsidR="000C2F20" w:rsidRPr="00B16A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Erraret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proculdu</w:t>
      </w:r>
      <w:r w:rsidR="002400E5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seminaret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lollium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crederet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metere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F20">
        <w:rPr>
          <w:rFonts w:ascii="Times New Roman" w:hAnsi="Times New Roman" w:cs="Times New Roman"/>
          <w:sz w:val="24"/>
          <w:szCs w:val="24"/>
        </w:rPr>
        <w:t>triticum</w:t>
      </w:r>
      <w:proofErr w:type="spellEnd"/>
      <w:r w:rsidR="000C2F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97923" w14:textId="77777777" w:rsidR="0078381E" w:rsidRDefault="00C5571A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dissuadetur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mundanus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deordinet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prepostere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agit</w:t>
      </w:r>
      <w:r w:rsidR="0024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eque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minus 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mundus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totus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debet, </w:t>
      </w:r>
      <w:r w:rsidR="004A473D">
        <w:rPr>
          <w:rFonts w:ascii="Times New Roman" w:hAnsi="Times New Roman" w:cs="Times New Roman"/>
          <w:sz w:val="24"/>
          <w:szCs w:val="24"/>
        </w:rPr>
        <w:t xml:space="preserve">[1] </w:t>
      </w:r>
      <w:r w:rsidR="002260B0">
        <w:rPr>
          <w:rFonts w:ascii="Times New Roman" w:hAnsi="Times New Roman" w:cs="Times New Roman"/>
          <w:sz w:val="24"/>
          <w:szCs w:val="24"/>
        </w:rPr>
        <w:t>Joan. 2[:</w:t>
      </w:r>
      <w:r w:rsidR="004A473D">
        <w:rPr>
          <w:rFonts w:ascii="Times New Roman" w:hAnsi="Times New Roman" w:cs="Times New Roman"/>
          <w:sz w:val="24"/>
          <w:szCs w:val="24"/>
        </w:rPr>
        <w:t>15-16]:</w:t>
      </w:r>
      <w:r w:rsidR="002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>diligere</w:t>
      </w:r>
      <w:proofErr w:type="spellEnd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mund</w:t>
      </w:r>
      <w:r w:rsidR="004A473D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60B0" w:rsidRPr="004A473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que in </w:t>
      </w:r>
      <w:proofErr w:type="spellStart"/>
      <w:r w:rsidR="002260B0" w:rsidRPr="004A473D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4A473D">
        <w:rPr>
          <w:rFonts w:ascii="Times New Roman" w:hAnsi="Times New Roman" w:cs="Times New Roman"/>
          <w:i/>
          <w:iCs/>
          <w:sz w:val="24"/>
          <w:szCs w:val="24"/>
        </w:rPr>
        <w:t xml:space="preserve"> sunt, </w:t>
      </w:r>
      <w:r w:rsidR="004A473D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4A473D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="004A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73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4A473D">
        <w:rPr>
          <w:rFonts w:ascii="Times New Roman" w:hAnsi="Times New Roman" w:cs="Times New Roman"/>
          <w:sz w:val="24"/>
          <w:szCs w:val="24"/>
        </w:rPr>
        <w:t xml:space="preserve"> </w:t>
      </w:r>
      <w:r w:rsidR="004A473D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4A473D" w:rsidRPr="004A473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A473D" w:rsidRPr="004A473D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="004A473D" w:rsidRPr="004A473D">
        <w:rPr>
          <w:rFonts w:ascii="Times New Roman" w:hAnsi="Times New Roman" w:cs="Times New Roman"/>
          <w:i/>
          <w:iCs/>
          <w:sz w:val="24"/>
          <w:szCs w:val="24"/>
        </w:rPr>
        <w:t>patre</w:t>
      </w:r>
      <w:proofErr w:type="spellEnd"/>
      <w:r w:rsidR="004A4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BAAD0" w14:textId="77777777" w:rsidR="0078381E" w:rsidRDefault="004A473D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dissuadetur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deordinet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irascibilem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futuri</w:t>
      </w:r>
      <w:proofErr w:type="spellEnd"/>
      <w:r w:rsidR="00F47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inferre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plus debet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rebus in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corpus et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Homo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timeri</w:t>
      </w:r>
      <w:proofErr w:type="spellEnd"/>
      <w:r>
        <w:rPr>
          <w:rFonts w:ascii="Times New Roman" w:hAnsi="Times New Roman" w:cs="Times New Roman"/>
          <w:sz w:val="24"/>
          <w:szCs w:val="24"/>
        </w:rPr>
        <w:t>, Matt. 10[:</w:t>
      </w:r>
      <w:r w:rsidR="004D0768">
        <w:rPr>
          <w:rFonts w:ascii="Times New Roman" w:hAnsi="Times New Roman" w:cs="Times New Roman"/>
          <w:sz w:val="24"/>
          <w:szCs w:val="24"/>
        </w:rPr>
        <w:t>28]: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768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0768">
        <w:rPr>
          <w:rFonts w:ascii="Times New Roman" w:hAnsi="Times New Roman" w:cs="Times New Roman"/>
          <w:i/>
          <w:iCs/>
          <w:sz w:val="24"/>
          <w:szCs w:val="24"/>
        </w:rPr>
        <w:t>timere</w:t>
      </w:r>
      <w:proofErr w:type="spellEnd"/>
      <w:r w:rsidR="00783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0768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4D0768">
        <w:rPr>
          <w:rFonts w:ascii="Times New Roman" w:hAnsi="Times New Roman" w:cs="Times New Roman"/>
          <w:i/>
          <w:iCs/>
          <w:sz w:val="24"/>
          <w:szCs w:val="24"/>
        </w:rPr>
        <w:t>occidunt</w:t>
      </w:r>
      <w:proofErr w:type="spellEnd"/>
      <w:r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 corpus</w:t>
      </w:r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 autem </w:t>
      </w:r>
      <w:proofErr w:type="spellStart"/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>occidere</w:t>
      </w:r>
      <w:proofErr w:type="spellEnd"/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4D0768" w:rsidRPr="004D0768">
        <w:rPr>
          <w:rFonts w:ascii="Times New Roman" w:hAnsi="Times New Roman" w:cs="Times New Roman"/>
          <w:i/>
          <w:iCs/>
          <w:sz w:val="24"/>
          <w:szCs w:val="24"/>
        </w:rPr>
        <w:t>possunt</w:t>
      </w:r>
      <w:proofErr w:type="spellEnd"/>
      <w:r w:rsidR="004D0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396B2" w14:textId="77777777" w:rsidR="0078381E" w:rsidRDefault="004D0768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in ore et opere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dissuadetur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triplex est. Primum contra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CA2CA0">
        <w:rPr>
          <w:rFonts w:ascii="Times New Roman" w:hAnsi="Times New Roman" w:cs="Times New Roman"/>
          <w:sz w:val="24"/>
          <w:szCs w:val="24"/>
        </w:rPr>
        <w:t xml:space="preserve">Deum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pessimum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viritatem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fidei et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inius</w:t>
      </w:r>
      <w:r w:rsidR="001A5684">
        <w:rPr>
          <w:rFonts w:ascii="Times New Roman" w:hAnsi="Times New Roman" w:cs="Times New Roman"/>
          <w:sz w:val="24"/>
          <w:szCs w:val="24"/>
        </w:rPr>
        <w:t>t</w:t>
      </w:r>
      <w:r w:rsidR="00CA2CA0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 sicut dulce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CA2CA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A2CA0">
        <w:rPr>
          <w:rFonts w:ascii="Times New Roman" w:hAnsi="Times New Roman" w:cs="Times New Roman"/>
          <w:sz w:val="24"/>
          <w:szCs w:val="24"/>
        </w:rPr>
        <w:t xml:space="preserve">. [74:5]: </w:t>
      </w:r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 xml:space="preserve">Dixi </w:t>
      </w:r>
      <w:proofErr w:type="spellStart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>iniquis</w:t>
      </w:r>
      <w:proofErr w:type="spellEnd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>inique</w:t>
      </w:r>
      <w:proofErr w:type="spellEnd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CA0" w:rsidRPr="00B62558">
        <w:rPr>
          <w:rFonts w:ascii="Times New Roman" w:hAnsi="Times New Roman" w:cs="Times New Roman"/>
          <w:i/>
          <w:iCs/>
          <w:sz w:val="24"/>
          <w:szCs w:val="24"/>
        </w:rPr>
        <w:t>agere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>, etc.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B62558" w:rsidRPr="00B62558">
        <w:rPr>
          <w:rFonts w:ascii="Times New Roman" w:hAnsi="Times New Roman" w:cs="Times New Roman"/>
          <w:i/>
          <w:iCs/>
          <w:sz w:val="24"/>
          <w:szCs w:val="24"/>
        </w:rPr>
        <w:t>Glossa</w:t>
      </w:r>
      <w:r w:rsidR="00B62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reciderant</w:t>
      </w:r>
      <w:proofErr w:type="spellEnd"/>
      <w:r w:rsidR="001A5684">
        <w:rPr>
          <w:rFonts w:ascii="Times New Roman" w:hAnsi="Times New Roman" w:cs="Times New Roman"/>
          <w:sz w:val="24"/>
          <w:szCs w:val="24"/>
        </w:rPr>
        <w:t>,</w:t>
      </w:r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nolite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inique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perseuerare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1A5684">
        <w:rPr>
          <w:rFonts w:ascii="Times New Roman" w:hAnsi="Times New Roman" w:cs="Times New Roman"/>
          <w:sz w:val="24"/>
          <w:szCs w:val="24"/>
        </w:rPr>
        <w:t>,</w:t>
      </w:r>
      <w:r w:rsidR="00B62558">
        <w:rPr>
          <w:rFonts w:ascii="Times New Roman" w:hAnsi="Times New Roman" w:cs="Times New Roman"/>
          <w:sz w:val="24"/>
          <w:szCs w:val="24"/>
        </w:rPr>
        <w:t xml:space="preserve"> Rom. 1</w:t>
      </w:r>
      <w:r w:rsidR="00415102">
        <w:rPr>
          <w:rFonts w:ascii="Times New Roman" w:hAnsi="Times New Roman" w:cs="Times New Roman"/>
          <w:sz w:val="24"/>
          <w:szCs w:val="24"/>
        </w:rPr>
        <w:t>6</w:t>
      </w:r>
      <w:r w:rsidR="00B62558">
        <w:rPr>
          <w:rFonts w:ascii="Times New Roman" w:hAnsi="Times New Roman" w:cs="Times New Roman"/>
          <w:sz w:val="24"/>
          <w:szCs w:val="24"/>
        </w:rPr>
        <w:t>[:</w:t>
      </w:r>
      <w:r w:rsidR="00415102">
        <w:rPr>
          <w:rFonts w:ascii="Times New Roman" w:hAnsi="Times New Roman" w:cs="Times New Roman"/>
          <w:sz w:val="24"/>
          <w:szCs w:val="24"/>
        </w:rPr>
        <w:t>19]:</w:t>
      </w:r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Perseueretis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r w:rsidR="00B62558" w:rsidRPr="0041510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B62558" w:rsidRPr="00415102">
        <w:rPr>
          <w:rFonts w:ascii="Times New Roman" w:hAnsi="Times New Roman" w:cs="Times New Roman"/>
          <w:i/>
          <w:iCs/>
          <w:sz w:val="24"/>
          <w:szCs w:val="24"/>
        </w:rPr>
        <w:t>malo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humanum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diaboleum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perseuerare</w:t>
      </w:r>
      <w:proofErr w:type="spellEnd"/>
      <w:r w:rsidR="009D0287">
        <w:rPr>
          <w:rFonts w:ascii="Times New Roman" w:hAnsi="Times New Roman" w:cs="Times New Roman"/>
          <w:sz w:val="24"/>
          <w:szCs w:val="24"/>
        </w:rPr>
        <w:t>,</w:t>
      </w:r>
      <w:r w:rsidR="00B6255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pessimum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in Deo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refundere</w:t>
      </w:r>
      <w:proofErr w:type="spellEnd"/>
      <w:r w:rsidR="00B6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58">
        <w:rPr>
          <w:rFonts w:ascii="Times New Roman" w:hAnsi="Times New Roman" w:cs="Times New Roman"/>
          <w:sz w:val="24"/>
          <w:szCs w:val="24"/>
        </w:rPr>
        <w:t>defendendo</w:t>
      </w:r>
      <w:proofErr w:type="spellEnd"/>
      <w:r w:rsidR="00415102">
        <w:rPr>
          <w:rFonts w:ascii="Times New Roman" w:hAnsi="Times New Roman" w:cs="Times New Roman"/>
          <w:sz w:val="24"/>
          <w:szCs w:val="24"/>
        </w:rPr>
        <w:t xml:space="preserve"> se. </w:t>
      </w:r>
      <w:r w:rsidR="00FF336E">
        <w:rPr>
          <w:rFonts w:ascii="Times New Roman" w:hAnsi="Times New Roman" w:cs="Times New Roman"/>
          <w:sz w:val="24"/>
          <w:szCs w:val="24"/>
        </w:rPr>
        <w:t>Ideo sequitur [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. 74:5]: </w:t>
      </w:r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>delinquentibus</w:t>
      </w:r>
      <w:proofErr w:type="spellEnd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>exaltare</w:t>
      </w:r>
      <w:proofErr w:type="spellEnd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336E" w:rsidRPr="00FF336E">
        <w:rPr>
          <w:rFonts w:ascii="Times New Roman" w:hAnsi="Times New Roman" w:cs="Times New Roman"/>
          <w:i/>
          <w:iCs/>
          <w:sz w:val="24"/>
          <w:szCs w:val="24"/>
        </w:rPr>
        <w:t>cornu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nolite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impunitatem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vobis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promittere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non ex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libertate sed ex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stellarum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 necessitate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E">
        <w:rPr>
          <w:rFonts w:ascii="Times New Roman" w:hAnsi="Times New Roman" w:cs="Times New Roman"/>
          <w:sz w:val="24"/>
          <w:szCs w:val="24"/>
        </w:rPr>
        <w:t>peccaui</w:t>
      </w:r>
      <w:proofErr w:type="spellEnd"/>
      <w:r w:rsidR="00FF33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F8EA2" w14:textId="640CAF2B" w:rsidR="00FF336E" w:rsidRDefault="00FF336E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70272E56" w14:textId="57FAE5ED" w:rsidR="00FF336E" w:rsidRDefault="00FF336E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280vb/</w:t>
      </w:r>
    </w:p>
    <w:p w14:paraId="0F03CDD2" w14:textId="77777777" w:rsidR="0078381E" w:rsidRDefault="00FF336E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iudicand</w:t>
      </w:r>
      <w:r w:rsidR="00C606E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occulta. Nam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C606E4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duas arbores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equalis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altitudinis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propinquiorem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alciorem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de se et suis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iudicant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F338B">
        <w:rPr>
          <w:rFonts w:ascii="Times New Roman" w:hAnsi="Times New Roman" w:cs="Times New Roman"/>
          <w:sz w:val="24"/>
          <w:szCs w:val="24"/>
        </w:rPr>
        <w:t>,</w:t>
      </w:r>
      <w:r w:rsidR="00C606E4">
        <w:rPr>
          <w:rFonts w:ascii="Times New Roman" w:hAnsi="Times New Roman" w:cs="Times New Roman"/>
          <w:sz w:val="24"/>
          <w:szCs w:val="24"/>
        </w:rPr>
        <w:t xml:space="preserve"> bona de proximo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>,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C606E4">
        <w:rPr>
          <w:rFonts w:ascii="Times New Roman" w:hAnsi="Times New Roman" w:cs="Times New Roman"/>
          <w:sz w:val="24"/>
          <w:szCs w:val="24"/>
        </w:rPr>
        <w:t xml:space="preserve">Joan. 7[:24]: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iudicare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 secundum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ius</w:t>
      </w:r>
      <w:r w:rsidR="00C606E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iudicate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. [1] Cor. 4[:5]: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 xml:space="preserve"> ante tempus </w:t>
      </w:r>
      <w:proofErr w:type="spellStart"/>
      <w:r w:rsidR="00C606E4" w:rsidRPr="00C606E4">
        <w:rPr>
          <w:rFonts w:ascii="Times New Roman" w:hAnsi="Times New Roman" w:cs="Times New Roman"/>
          <w:i/>
          <w:iCs/>
          <w:sz w:val="24"/>
          <w:szCs w:val="24"/>
        </w:rPr>
        <w:t>iudicare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>, etc. Matt. 7[:</w:t>
      </w:r>
      <w:r w:rsidR="0096435D">
        <w:rPr>
          <w:rFonts w:ascii="Times New Roman" w:hAnsi="Times New Roman" w:cs="Times New Roman"/>
          <w:sz w:val="24"/>
          <w:szCs w:val="24"/>
        </w:rPr>
        <w:t>1-5]:</w:t>
      </w:r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>iudicare</w:t>
      </w:r>
      <w:proofErr w:type="spellEnd"/>
      <w:r w:rsidR="00C606E4">
        <w:rPr>
          <w:rFonts w:ascii="Times New Roman" w:hAnsi="Times New Roman" w:cs="Times New Roman"/>
          <w:sz w:val="24"/>
          <w:szCs w:val="24"/>
        </w:rPr>
        <w:t xml:space="preserve">, </w:t>
      </w:r>
      <w:r w:rsidR="0096435D">
        <w:rPr>
          <w:rFonts w:ascii="Times New Roman" w:hAnsi="Times New Roman" w:cs="Times New Roman"/>
          <w:sz w:val="24"/>
          <w:szCs w:val="24"/>
        </w:rPr>
        <w:t>e</w:t>
      </w:r>
      <w:r w:rsidR="00C606E4">
        <w:rPr>
          <w:rFonts w:ascii="Times New Roman" w:hAnsi="Times New Roman" w:cs="Times New Roman"/>
          <w:sz w:val="24"/>
          <w:szCs w:val="24"/>
        </w:rPr>
        <w:t>t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C6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>iudic</w:t>
      </w:r>
      <w:r w:rsidR="0096435D" w:rsidRPr="0096435D">
        <w:rPr>
          <w:rFonts w:ascii="Times New Roman" w:hAnsi="Times New Roman" w:cs="Times New Roman"/>
          <w:i/>
          <w:iCs/>
          <w:sz w:val="24"/>
          <w:szCs w:val="24"/>
        </w:rPr>
        <w:t>abim</w:t>
      </w:r>
      <w:r w:rsidR="00C606E4" w:rsidRPr="0096435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6435D" w:rsidRPr="0096435D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 w:rsidR="0096435D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96435D" w:rsidRPr="0096435D">
        <w:rPr>
          <w:rFonts w:ascii="Times New Roman" w:hAnsi="Times New Roman" w:cs="Times New Roman"/>
          <w:i/>
          <w:iCs/>
          <w:sz w:val="24"/>
          <w:szCs w:val="24"/>
        </w:rPr>
        <w:t>oculo</w:t>
      </w:r>
      <w:proofErr w:type="spellEnd"/>
      <w:r w:rsidR="00964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503CC" w14:textId="77777777" w:rsidR="00D26381" w:rsidRDefault="0096435D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superbe</w:t>
      </w:r>
      <w:proofErr w:type="spellEnd"/>
      <w:r w:rsidR="00D0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non verum</w:t>
      </w:r>
      <w:r w:rsidR="00D0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 bonum</w:t>
      </w:r>
      <w:r w:rsidR="00D0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 gra</w:t>
      </w:r>
      <w:r w:rsidR="00D0795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</w:t>
      </w:r>
      <w:r w:rsidR="00D0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peruersum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23C7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eligere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vanam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mundi que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r w:rsidR="004623C7">
        <w:rPr>
          <w:rFonts w:ascii="Times New Roman" w:hAnsi="Times New Roman" w:cs="Times New Roman"/>
          <w:sz w:val="24"/>
          <w:szCs w:val="24"/>
        </w:rPr>
        <w:t xml:space="preserve">Dei [1] Reg. 2[:3]: </w:t>
      </w:r>
      <w:proofErr w:type="spellStart"/>
      <w:r w:rsidR="004623C7" w:rsidRPr="004623C7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4623C7" w:rsidRPr="004623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23C7" w:rsidRPr="004623C7">
        <w:rPr>
          <w:rFonts w:ascii="Times New Roman" w:hAnsi="Times New Roman" w:cs="Times New Roman"/>
          <w:i/>
          <w:iCs/>
          <w:sz w:val="24"/>
          <w:szCs w:val="24"/>
        </w:rPr>
        <w:t>multiplicare</w:t>
      </w:r>
      <w:proofErr w:type="spellEnd"/>
      <w:r w:rsidR="004623C7" w:rsidRPr="004623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23C7" w:rsidRPr="004623C7">
        <w:rPr>
          <w:rFonts w:ascii="Times New Roman" w:hAnsi="Times New Roman" w:cs="Times New Roman"/>
          <w:i/>
          <w:iCs/>
          <w:sz w:val="24"/>
          <w:szCs w:val="24"/>
        </w:rPr>
        <w:t>loqui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vaniloquium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>.</w:t>
      </w:r>
      <w:r w:rsidR="0078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sublimia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magniloquium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>.</w:t>
      </w:r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gloriantes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recedant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3C7">
        <w:rPr>
          <w:rFonts w:ascii="Times New Roman" w:hAnsi="Times New Roman" w:cs="Times New Roman"/>
          <w:sz w:val="24"/>
          <w:szCs w:val="24"/>
        </w:rPr>
        <w:t>vetera</w:t>
      </w:r>
      <w:proofErr w:type="spellEnd"/>
      <w:r w:rsidR="004623C7">
        <w:rPr>
          <w:rFonts w:ascii="Times New Roman" w:hAnsi="Times New Roman" w:cs="Times New Roman"/>
          <w:sz w:val="24"/>
          <w:szCs w:val="24"/>
        </w:rPr>
        <w:t xml:space="preserve"> </w:t>
      </w:r>
      <w:r w:rsidR="00BA4429">
        <w:rPr>
          <w:rFonts w:ascii="Times New Roman" w:hAnsi="Times New Roman" w:cs="Times New Roman"/>
          <w:sz w:val="24"/>
          <w:szCs w:val="24"/>
        </w:rPr>
        <w:t>de ore</w:t>
      </w:r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29">
        <w:rPr>
          <w:rFonts w:ascii="Times New Roman" w:hAnsi="Times New Roman" w:cs="Times New Roman"/>
          <w:sz w:val="24"/>
          <w:szCs w:val="24"/>
        </w:rPr>
        <w:t>vestro</w:t>
      </w:r>
      <w:proofErr w:type="spellEnd"/>
      <w:r w:rsidR="00BA4429">
        <w:rPr>
          <w:rFonts w:ascii="Times New Roman" w:hAnsi="Times New Roman" w:cs="Times New Roman"/>
          <w:sz w:val="24"/>
          <w:szCs w:val="24"/>
        </w:rPr>
        <w:t xml:space="preserve">, scilicet </w:t>
      </w:r>
      <w:proofErr w:type="spellStart"/>
      <w:r w:rsidR="00BA4429">
        <w:rPr>
          <w:rFonts w:ascii="Times New Roman" w:hAnsi="Times New Roman" w:cs="Times New Roman"/>
          <w:sz w:val="24"/>
          <w:szCs w:val="24"/>
        </w:rPr>
        <w:t>iaccania</w:t>
      </w:r>
      <w:proofErr w:type="spellEnd"/>
      <w:r w:rsidR="00BA4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29">
        <w:rPr>
          <w:rFonts w:ascii="Times New Roman" w:hAnsi="Times New Roman" w:cs="Times New Roman"/>
          <w:sz w:val="24"/>
          <w:szCs w:val="24"/>
        </w:rPr>
        <w:t>dolus</w:t>
      </w:r>
      <w:proofErr w:type="spellEnd"/>
      <w:r w:rsidR="00BA44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32E76" w14:textId="10444FC6" w:rsidR="00A52D4C" w:rsidRDefault="00BA4429" w:rsidP="007838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="00943BE7">
        <w:rPr>
          <w:rFonts w:ascii="Times New Roman" w:hAnsi="Times New Roman" w:cs="Times New Roman"/>
          <w:sz w:val="24"/>
          <w:szCs w:val="24"/>
        </w:rPr>
        <w:t xml:space="preserve"> per</w:t>
      </w:r>
      <w:r w:rsidR="00943BE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obscuriatem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lumen</w:t>
      </w:r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intelligencie</w:t>
      </w:r>
      <w:proofErr w:type="spellEnd"/>
      <w:r w:rsidR="008E6C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8E6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94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debilit</w:t>
      </w:r>
      <w:r w:rsidR="008E6C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94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dampnat</w:t>
      </w:r>
      <w:proofErr w:type="spellEnd"/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</w:t>
      </w:r>
      <w:r w:rsidR="008E6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A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="00D263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Luc. 18[:35]: </w:t>
      </w:r>
      <w:proofErr w:type="spellStart"/>
      <w:r w:rsidRPr="00BA4429">
        <w:rPr>
          <w:rFonts w:ascii="Times New Roman" w:hAnsi="Times New Roman" w:cs="Times New Roman"/>
          <w:i/>
          <w:iCs/>
          <w:sz w:val="24"/>
          <w:szCs w:val="24"/>
        </w:rPr>
        <w:t>Cecus</w:t>
      </w:r>
      <w:proofErr w:type="spellEnd"/>
      <w:r w:rsidRPr="00BA44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4429">
        <w:rPr>
          <w:rFonts w:ascii="Times New Roman" w:hAnsi="Times New Roman" w:cs="Times New Roman"/>
          <w:i/>
          <w:iCs/>
          <w:sz w:val="24"/>
          <w:szCs w:val="24"/>
        </w:rPr>
        <w:t>sedebat</w:t>
      </w:r>
      <w:proofErr w:type="spellEnd"/>
      <w:r w:rsidRPr="00BA4429">
        <w:rPr>
          <w:rFonts w:ascii="Times New Roman" w:hAnsi="Times New Roman" w:cs="Times New Roman"/>
          <w:i/>
          <w:iCs/>
          <w:sz w:val="24"/>
          <w:szCs w:val="24"/>
        </w:rPr>
        <w:t xml:space="preserve"> secus </w:t>
      </w:r>
      <w:proofErr w:type="spellStart"/>
      <w:r w:rsidRPr="00BA4429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Vidi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hoc</w:t>
      </w:r>
      <w:r w:rsidR="00D26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reliquie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infamiem</w:t>
      </w:r>
      <w:proofErr w:type="spellEnd"/>
      <w:r w:rsidR="00221816">
        <w:rPr>
          <w:rFonts w:ascii="Times New Roman" w:hAnsi="Times New Roman" w:cs="Times New Roman"/>
          <w:sz w:val="24"/>
          <w:szCs w:val="24"/>
        </w:rPr>
        <w:t xml:space="preserve"> et</w:t>
      </w:r>
      <w:r w:rsidR="0022181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</w:t>
      </w:r>
      <w:r w:rsidR="00221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interrupt</w:t>
      </w:r>
      <w:r w:rsidR="002218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221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modicitas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bone</w:t>
      </w:r>
      <w:r w:rsidR="00221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quibus vide infra</w:t>
      </w:r>
      <w:r w:rsidR="00D2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D4C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A52D4C">
        <w:rPr>
          <w:rFonts w:ascii="Times New Roman" w:hAnsi="Times New Roman" w:cs="Times New Roman"/>
          <w:sz w:val="24"/>
          <w:szCs w:val="24"/>
        </w:rPr>
        <w:t xml:space="preserve"> [197] Petere.</w:t>
      </w:r>
    </w:p>
    <w:sectPr w:rsidR="00A52D4C" w:rsidSect="005F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1E25" w14:textId="77777777" w:rsidR="005F5449" w:rsidRDefault="005F5449" w:rsidP="005F5449">
      <w:pPr>
        <w:spacing w:after="0" w:line="240" w:lineRule="auto"/>
      </w:pPr>
      <w:r>
        <w:separator/>
      </w:r>
    </w:p>
  </w:endnote>
  <w:endnote w:type="continuationSeparator" w:id="0">
    <w:p w14:paraId="03C8C040" w14:textId="77777777" w:rsidR="005F5449" w:rsidRDefault="005F5449" w:rsidP="005F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F6E" w14:textId="77777777" w:rsidR="005F5449" w:rsidRDefault="005F5449" w:rsidP="005F5449">
      <w:pPr>
        <w:spacing w:after="0" w:line="240" w:lineRule="auto"/>
      </w:pPr>
      <w:r>
        <w:separator/>
      </w:r>
    </w:p>
  </w:footnote>
  <w:footnote w:type="continuationSeparator" w:id="0">
    <w:p w14:paraId="4251DD2C" w14:textId="77777777" w:rsidR="005F5449" w:rsidRDefault="005F5449" w:rsidP="005F5449">
      <w:pPr>
        <w:spacing w:after="0" w:line="240" w:lineRule="auto"/>
      </w:pPr>
      <w:r>
        <w:continuationSeparator/>
      </w:r>
    </w:p>
  </w:footnote>
  <w:footnote w:id="1">
    <w:p w14:paraId="3C613BBF" w14:textId="6BAFB1DA" w:rsidR="005F5449" w:rsidRPr="00221816" w:rsidRDefault="005F5449" w:rsidP="002260B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218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21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1816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22181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21816">
        <w:rPr>
          <w:rFonts w:ascii="Times New Roman" w:hAnsi="Times New Roman" w:cs="Times New Roman"/>
          <w:sz w:val="24"/>
          <w:szCs w:val="24"/>
        </w:rPr>
        <w:t xml:space="preserve"> Lambeth begins this chapter: Duplex </w:t>
      </w:r>
      <w:proofErr w:type="spellStart"/>
      <w:r w:rsidRPr="0022181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21816">
        <w:rPr>
          <w:rFonts w:ascii="Times New Roman" w:hAnsi="Times New Roman" w:cs="Times New Roman"/>
          <w:sz w:val="24"/>
          <w:szCs w:val="24"/>
        </w:rPr>
        <w:t xml:space="preserve"> genus… with the “D” capitalized.</w:t>
      </w:r>
    </w:p>
  </w:footnote>
  <w:footnote w:id="2">
    <w:p w14:paraId="55D4A1CC" w14:textId="0F7201A0" w:rsidR="00943BE7" w:rsidRPr="00221816" w:rsidRDefault="00943B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218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21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816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221816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221816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2181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D20FE84" w14:textId="77777777" w:rsidR="00221816" w:rsidRPr="00221816" w:rsidRDefault="0022181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B475A1E" w14:textId="255D77C3" w:rsidR="00221816" w:rsidRPr="00221816" w:rsidRDefault="00221816">
      <w:pPr>
        <w:pStyle w:val="FootnoteText"/>
        <w:rPr>
          <w:rFonts w:ascii="Times New Roman" w:hAnsi="Times New Roman" w:cs="Times New Roman"/>
        </w:rPr>
      </w:pPr>
      <w:r w:rsidRPr="00221816">
        <w:rPr>
          <w:rStyle w:val="FootnoteReference"/>
          <w:rFonts w:ascii="Times New Roman" w:hAnsi="Times New Roman" w:cs="Times New Roman"/>
        </w:rPr>
        <w:footnoteRef/>
      </w:r>
      <w:r w:rsidRPr="00221816">
        <w:rPr>
          <w:rFonts w:ascii="Times New Roman" w:hAnsi="Times New Roman" w:cs="Times New Roman"/>
        </w:rPr>
        <w:t xml:space="preserve"> </w:t>
      </w:r>
      <w:proofErr w:type="gramStart"/>
      <w:r w:rsidRPr="00221816">
        <w:rPr>
          <w:rFonts w:ascii="Times New Roman" w:hAnsi="Times New Roman" w:cs="Times New Roman"/>
        </w:rPr>
        <w:t>et ]</w:t>
      </w:r>
      <w:proofErr w:type="gramEnd"/>
      <w:r w:rsidRPr="00221816">
        <w:rPr>
          <w:rFonts w:ascii="Times New Roman" w:hAnsi="Times New Roman" w:cs="Times New Roman"/>
        </w:rPr>
        <w:t xml:space="preserve"> Lambeth </w:t>
      </w:r>
      <w:proofErr w:type="spellStart"/>
      <w:r w:rsidRPr="00221816">
        <w:rPr>
          <w:rFonts w:ascii="Times New Roman" w:hAnsi="Times New Roman" w:cs="Times New Roman"/>
          <w:i/>
          <w:iCs/>
        </w:rPr>
        <w:t>om</w:t>
      </w:r>
      <w:r w:rsidRPr="00221816">
        <w:rPr>
          <w:rFonts w:ascii="Times New Roman" w:hAnsi="Times New Roman" w:cs="Times New Roman"/>
        </w:rPr>
        <w:t>.</w:t>
      </w:r>
      <w:proofErr w:type="spellEnd"/>
      <w:r w:rsidRPr="00221816">
        <w:rPr>
          <w:rFonts w:ascii="Times New Roman" w:hAnsi="Times New Roman" w:cs="Times New Roman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49"/>
    <w:rsid w:val="000C2F20"/>
    <w:rsid w:val="0017051F"/>
    <w:rsid w:val="001A5684"/>
    <w:rsid w:val="00221816"/>
    <w:rsid w:val="002260B0"/>
    <w:rsid w:val="002400E5"/>
    <w:rsid w:val="002431B0"/>
    <w:rsid w:val="00415102"/>
    <w:rsid w:val="00433B90"/>
    <w:rsid w:val="004623C7"/>
    <w:rsid w:val="004A473D"/>
    <w:rsid w:val="004D0768"/>
    <w:rsid w:val="005F5449"/>
    <w:rsid w:val="0060075B"/>
    <w:rsid w:val="0078381E"/>
    <w:rsid w:val="008E3C78"/>
    <w:rsid w:val="008E6CA1"/>
    <w:rsid w:val="00943BE7"/>
    <w:rsid w:val="0096435D"/>
    <w:rsid w:val="009D0287"/>
    <w:rsid w:val="009E3723"/>
    <w:rsid w:val="00A26B25"/>
    <w:rsid w:val="00A52D4C"/>
    <w:rsid w:val="00B16A13"/>
    <w:rsid w:val="00B62558"/>
    <w:rsid w:val="00BA4429"/>
    <w:rsid w:val="00C5571A"/>
    <w:rsid w:val="00C606E4"/>
    <w:rsid w:val="00CA2CA0"/>
    <w:rsid w:val="00CF338B"/>
    <w:rsid w:val="00D07952"/>
    <w:rsid w:val="00D26381"/>
    <w:rsid w:val="00ED7916"/>
    <w:rsid w:val="00F47962"/>
    <w:rsid w:val="00F60AF6"/>
    <w:rsid w:val="00F6220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733A"/>
  <w15:chartTrackingRefBased/>
  <w15:docId w15:val="{0BC22827-5E09-4CA2-9F67-5567CA69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44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4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4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44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62207"/>
    <w:rPr>
      <w:color w:val="0000FF"/>
      <w:u w:val="single"/>
    </w:rPr>
  </w:style>
  <w:style w:type="character" w:customStyle="1" w:styleId="hit">
    <w:name w:val="hit"/>
    <w:basedOn w:val="DefaultParagraphFont"/>
    <w:rsid w:val="002260B0"/>
  </w:style>
  <w:style w:type="character" w:customStyle="1" w:styleId="lemme">
    <w:name w:val="lemme"/>
    <w:basedOn w:val="DefaultParagraphFont"/>
    <w:rsid w:val="00B62558"/>
  </w:style>
  <w:style w:type="character" w:customStyle="1" w:styleId="autorite">
    <w:name w:val="autorite"/>
    <w:basedOn w:val="DefaultParagraphFont"/>
    <w:rsid w:val="00B6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4D11-E593-4906-89A3-CF2F271C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2024-05-06T02:15:00Z</dcterms:created>
  <dcterms:modified xsi:type="dcterms:W3CDTF">2024-05-06T02:15:00Z</dcterms:modified>
</cp:coreProperties>
</file>