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E907" w14:textId="73A4D299" w:rsidR="00433B90" w:rsidRPr="00894D03" w:rsidRDefault="00894D03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4D0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40180F9" w14:textId="6E93AF1E" w:rsidR="00894D03" w:rsidRPr="00894D03" w:rsidRDefault="00894D03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4D03">
        <w:rPr>
          <w:rFonts w:ascii="Times New Roman" w:hAnsi="Times New Roman" w:cs="Times New Roman"/>
          <w:sz w:val="24"/>
          <w:szCs w:val="24"/>
        </w:rPr>
        <w:t xml:space="preserve">180 Pastores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o</w:t>
      </w:r>
      <w:r w:rsidR="00FB6011">
        <w:rPr>
          <w:rFonts w:ascii="Times New Roman" w:hAnsi="Times New Roman" w:cs="Times New Roman"/>
          <w:sz w:val="24"/>
          <w:szCs w:val="24"/>
        </w:rPr>
        <w:t>u</w:t>
      </w:r>
      <w:r w:rsidRPr="00894D03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sumus</w:t>
      </w:r>
      <w:proofErr w:type="spellEnd"/>
    </w:p>
    <w:p w14:paraId="102DDD98" w14:textId="77777777" w:rsidR="001077E0" w:rsidRDefault="00894D03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6011">
        <w:rPr>
          <w:rFonts w:ascii="Times New Roman" w:hAnsi="Times New Roman" w:cs="Times New Roman"/>
          <w:i/>
          <w:iCs/>
          <w:sz w:val="24"/>
          <w:szCs w:val="24"/>
        </w:rPr>
        <w:t xml:space="preserve">Pastores </w:t>
      </w:r>
      <w:proofErr w:type="spellStart"/>
      <w:r w:rsidRPr="00FB601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B6011" w:rsidRPr="00FB6011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Pr="00FB6011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Pr="00FB6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6011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>,</w:t>
      </w:r>
      <w:r w:rsidR="00FB6011">
        <w:rPr>
          <w:rFonts w:ascii="Times New Roman" w:hAnsi="Times New Roman" w:cs="Times New Roman"/>
          <w:sz w:val="24"/>
          <w:szCs w:val="24"/>
        </w:rPr>
        <w:t xml:space="preserve"> [Gen. 47:3],</w:t>
      </w:r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transferentes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qu</w:t>
      </w:r>
      <w:r w:rsidRPr="00894D0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transferunt</w:t>
      </w:r>
      <w:proofErr w:type="spellEnd"/>
      <w:r w:rsidR="000C1807">
        <w:rPr>
          <w:rFonts w:ascii="Times New Roman" w:hAnsi="Times New Roman" w:cs="Times New Roman"/>
          <w:sz w:val="24"/>
          <w:szCs w:val="24"/>
        </w:rPr>
        <w:t>,</w:t>
      </w:r>
      <w:r w:rsidRPr="00894D03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, </w:t>
      </w:r>
      <w:r w:rsidRPr="00894D03">
        <w:rPr>
          <w:rFonts w:ascii="Times New Roman" w:hAnsi="Times New Roman" w:cs="Times New Roman"/>
          <w:i/>
          <w:sz w:val="24"/>
          <w:szCs w:val="24"/>
        </w:rPr>
        <w:t>De tempore</w:t>
      </w:r>
      <w:r w:rsidRPr="00894D0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pastoris ad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prelatum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transfer</w:t>
      </w:r>
      <w:r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reperimus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C56B2" w14:textId="77777777" w:rsidR="001077E0" w:rsidRDefault="00894D03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894D03">
        <w:rPr>
          <w:rFonts w:ascii="Times New Roman" w:hAnsi="Times New Roman" w:cs="Times New Roman"/>
          <w:sz w:val="24"/>
          <w:szCs w:val="24"/>
        </w:rPr>
        <w:t xml:space="preserve"> Nam pastor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gregem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pascit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sub domino cui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seruit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. Post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succedit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4D03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</w:t>
      </w:r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curatus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esse fidelis quantum ad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gregem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regit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, humilis quantum ad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docilis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D03">
        <w:rPr>
          <w:rFonts w:ascii="Times New Roman" w:hAnsi="Times New Roman" w:cs="Times New Roman"/>
          <w:sz w:val="24"/>
          <w:szCs w:val="24"/>
        </w:rPr>
        <w:t>prehabuint</w:t>
      </w:r>
      <w:proofErr w:type="spellEnd"/>
      <w:r w:rsidRPr="00894D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1F55A" w14:textId="77777777" w:rsidR="001077E0" w:rsidRDefault="00894D03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Secundum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commendant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sacerdotem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quantum ad</w:t>
      </w:r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regiminem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subditorum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86B">
        <w:rPr>
          <w:rFonts w:ascii="Times New Roman" w:hAnsi="Times New Roman" w:cs="Times New Roman"/>
          <w:i/>
          <w:iCs/>
          <w:sz w:val="24"/>
          <w:szCs w:val="24"/>
        </w:rPr>
        <w:t>pastores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observanciam</w:t>
      </w:r>
      <w:proofErr w:type="spellEnd"/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86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0E786B" w:rsidRPr="000E786B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0E786B">
        <w:rPr>
          <w:rFonts w:ascii="Times New Roman" w:hAnsi="Times New Roman" w:cs="Times New Roman"/>
          <w:i/>
          <w:iCs/>
          <w:sz w:val="24"/>
          <w:szCs w:val="24"/>
        </w:rPr>
        <w:t>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docilitas</w:t>
      </w:r>
      <w:proofErr w:type="spellEnd"/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sanctorum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86B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E7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4FFFC" w14:textId="77777777" w:rsidR="001077E0" w:rsidRDefault="000E786B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primum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D03" w:rsidRPr="00894D03">
        <w:rPr>
          <w:rFonts w:ascii="Times New Roman" w:hAnsi="Times New Roman" w:cs="Times New Roman"/>
          <w:sz w:val="24"/>
          <w:szCs w:val="24"/>
        </w:rPr>
        <w:t xml:space="preserve">pastor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regere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vtiliter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>,</w:t>
      </w:r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B70">
        <w:rPr>
          <w:rFonts w:ascii="Times New Roman" w:hAnsi="Times New Roman" w:cs="Times New Roman"/>
          <w:i/>
          <w:iCs/>
          <w:sz w:val="24"/>
          <w:szCs w:val="24"/>
        </w:rPr>
        <w:t>pastores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>,</w:t>
      </w:r>
      <w:r w:rsidR="00894D03" w:rsidRPr="00894D0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deridere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 xml:space="preserve"> </w:t>
      </w:r>
      <w:r w:rsidR="00302B70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vocando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ribaldos</w:t>
      </w:r>
      <w:proofErr w:type="spellEnd"/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excoriare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opprimere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crudelitate</w:t>
      </w:r>
      <w:r w:rsidR="00302B7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94D03" w:rsidRPr="00894D03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pascere</w:t>
      </w:r>
      <w:proofErr w:type="spellEnd"/>
      <w:r w:rsidR="006126C8">
        <w:rPr>
          <w:rFonts w:ascii="Times New Roman" w:hAnsi="Times New Roman" w:cs="Times New Roman"/>
          <w:sz w:val="24"/>
          <w:szCs w:val="24"/>
        </w:rPr>
        <w:t xml:space="preserve"> per</w:t>
      </w:r>
      <w:r w:rsidR="00894D03" w:rsidRPr="0089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D03" w:rsidRPr="00894D03">
        <w:rPr>
          <w:rFonts w:ascii="Times New Roman" w:hAnsi="Times New Roman" w:cs="Times New Roman"/>
          <w:sz w:val="24"/>
          <w:szCs w:val="24"/>
        </w:rPr>
        <w:t>sagacitatem</w:t>
      </w:r>
      <w:proofErr w:type="spellEnd"/>
      <w:r w:rsidR="006126C8">
        <w:rPr>
          <w:rFonts w:ascii="Times New Roman" w:hAnsi="Times New Roman" w:cs="Times New Roman"/>
          <w:sz w:val="24"/>
          <w:szCs w:val="24"/>
        </w:rPr>
        <w:t>,</w:t>
      </w:r>
      <w:r w:rsidR="00894D03" w:rsidRPr="00894D03">
        <w:rPr>
          <w:rFonts w:ascii="Times New Roman" w:hAnsi="Times New Roman" w:cs="Times New Roman"/>
          <w:sz w:val="24"/>
          <w:szCs w:val="24"/>
        </w:rPr>
        <w:t xml:space="preserve"> </w:t>
      </w:r>
      <w:r w:rsidR="00302B70">
        <w:rPr>
          <w:rFonts w:ascii="Times New Roman" w:hAnsi="Times New Roman" w:cs="Times New Roman"/>
          <w:sz w:val="24"/>
          <w:szCs w:val="24"/>
        </w:rPr>
        <w:t>Jer.</w:t>
      </w:r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r w:rsidR="00302B70">
        <w:rPr>
          <w:rFonts w:ascii="Times New Roman" w:hAnsi="Times New Roman" w:cs="Times New Roman"/>
          <w:sz w:val="24"/>
          <w:szCs w:val="24"/>
        </w:rPr>
        <w:t xml:space="preserve">3[:15]: </w:t>
      </w:r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Dabo vobis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pastores</w:t>
      </w:r>
      <w:proofErr w:type="spellEnd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iuxta</w:t>
      </w:r>
      <w:proofErr w:type="spellEnd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>, qui</w:t>
      </w:r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pascant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scientia</w:t>
      </w:r>
      <w:proofErr w:type="spellEnd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doctrina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modo</w:t>
      </w:r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impletur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, [3] Reg. </w:t>
      </w:r>
      <w:proofErr w:type="spellStart"/>
      <w:r w:rsidR="00302B70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302B70">
        <w:rPr>
          <w:rFonts w:ascii="Times New Roman" w:hAnsi="Times New Roman" w:cs="Times New Roman"/>
          <w:sz w:val="24"/>
          <w:szCs w:val="24"/>
        </w:rPr>
        <w:t xml:space="preserve"> [22:17]: </w:t>
      </w:r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Vidi Israel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dispersum</w:t>
      </w:r>
      <w:proofErr w:type="spellEnd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montibus</w:t>
      </w:r>
      <w:proofErr w:type="spellEnd"/>
      <w:r w:rsidR="00302B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B70" w:rsidRPr="00302B70">
        <w:rPr>
          <w:rFonts w:ascii="Times New Roman" w:hAnsi="Times New Roman" w:cs="Times New Roman"/>
          <w:sz w:val="24"/>
          <w:szCs w:val="24"/>
        </w:rPr>
        <w:t>sicut</w:t>
      </w:r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oues</w:t>
      </w:r>
      <w:proofErr w:type="spellEnd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>habentes</w:t>
      </w:r>
      <w:proofErr w:type="spellEnd"/>
      <w:r w:rsidR="00302B70" w:rsidRPr="00302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2B70" w:rsidRPr="00302B70">
        <w:rPr>
          <w:rFonts w:ascii="Times New Roman" w:hAnsi="Times New Roman" w:cs="Times New Roman"/>
          <w:sz w:val="24"/>
          <w:szCs w:val="24"/>
        </w:rPr>
        <w:t>pastores</w:t>
      </w:r>
      <w:proofErr w:type="spellEnd"/>
      <w:r w:rsidR="00302B70" w:rsidRPr="00302B70">
        <w:rPr>
          <w:rFonts w:ascii="Times New Roman" w:hAnsi="Times New Roman" w:cs="Times New Roman"/>
          <w:sz w:val="24"/>
          <w:szCs w:val="24"/>
        </w:rPr>
        <w:t>.</w:t>
      </w:r>
      <w:r w:rsidR="00302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99CCE" w14:textId="77777777" w:rsidR="001077E0" w:rsidRDefault="00302B70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Secundo</w:t>
      </w:r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i/>
          <w:iCs/>
          <w:sz w:val="24"/>
          <w:szCs w:val="24"/>
        </w:rPr>
        <w:t>ouium</w:t>
      </w:r>
      <w:proofErr w:type="spellEnd"/>
      <w:r w:rsidR="006126C8">
        <w:rPr>
          <w:rFonts w:ascii="Times New Roman" w:hAnsi="Times New Roman" w:cs="Times New Roman"/>
          <w:sz w:val="24"/>
          <w:szCs w:val="24"/>
        </w:rPr>
        <w:t>,</w:t>
      </w:r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r w:rsidR="006126C8">
        <w:rPr>
          <w:rFonts w:ascii="Times New Roman" w:hAnsi="Times New Roman" w:cs="Times New Roman"/>
          <w:sz w:val="24"/>
          <w:szCs w:val="24"/>
        </w:rPr>
        <w:t>n</w:t>
      </w:r>
      <w:r w:rsidR="000D5E45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luporum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concubinarum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histrionum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subditorum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, Joan. 21[:17]: </w:t>
      </w:r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 xml:space="preserve">Pasce </w:t>
      </w:r>
      <w:proofErr w:type="spellStart"/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>oues</w:t>
      </w:r>
      <w:proofErr w:type="spellEnd"/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 xml:space="preserve"> meas</w:t>
      </w:r>
      <w:r w:rsidR="000D5E45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ho</w:t>
      </w:r>
      <w:r w:rsidR="006126C8">
        <w:rPr>
          <w:rFonts w:ascii="Times New Roman" w:hAnsi="Times New Roman" w:cs="Times New Roman"/>
          <w:sz w:val="24"/>
          <w:szCs w:val="24"/>
        </w:rPr>
        <w:t>di</w:t>
      </w:r>
      <w:r w:rsidR="000D5E4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impletur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>. 34[:8</w:t>
      </w:r>
      <w:r w:rsidR="006126C8">
        <w:rPr>
          <w:rFonts w:ascii="Times New Roman" w:hAnsi="Times New Roman" w:cs="Times New Roman"/>
          <w:sz w:val="24"/>
          <w:szCs w:val="24"/>
        </w:rPr>
        <w:t>, 7</w:t>
      </w:r>
      <w:r w:rsidR="000D5E45">
        <w:rPr>
          <w:rFonts w:ascii="Times New Roman" w:hAnsi="Times New Roman" w:cs="Times New Roman"/>
          <w:sz w:val="24"/>
          <w:szCs w:val="24"/>
        </w:rPr>
        <w:t xml:space="preserve">]: </w:t>
      </w:r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 xml:space="preserve">Pastores </w:t>
      </w:r>
      <w:proofErr w:type="spellStart"/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>pascebant</w:t>
      </w:r>
      <w:proofErr w:type="spellEnd"/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>semetimpsos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, </w:t>
      </w:r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gregem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0D5E45" w:rsidRPr="000D5E45">
        <w:rPr>
          <w:rFonts w:ascii="Times New Roman" w:hAnsi="Times New Roman" w:cs="Times New Roman"/>
          <w:i/>
          <w:iCs/>
          <w:sz w:val="24"/>
          <w:szCs w:val="24"/>
        </w:rPr>
        <w:t>pascebant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>.</w:t>
      </w:r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26B9C" w14:textId="5C7A185D" w:rsidR="001077E0" w:rsidRDefault="001077E0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278va/</w:t>
      </w:r>
    </w:p>
    <w:p w14:paraId="4DB6EF3D" w14:textId="37515624" w:rsidR="001077E0" w:rsidRDefault="000D5E45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Propterea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verbum Domini. </w:t>
      </w:r>
    </w:p>
    <w:p w14:paraId="75D1CFF6" w14:textId="6E2A7E8C" w:rsidR="00894D03" w:rsidRPr="00894D03" w:rsidRDefault="00894D03" w:rsidP="00107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4D03">
        <w:rPr>
          <w:rFonts w:ascii="Times New Roman" w:hAnsi="Times New Roman" w:cs="Times New Roman"/>
          <w:sz w:val="24"/>
          <w:szCs w:val="24"/>
        </w:rPr>
        <w:t xml:space="preserve">¶ </w:t>
      </w:r>
      <w:r w:rsidR="000D5E45">
        <w:rPr>
          <w:rFonts w:ascii="Times New Roman" w:hAnsi="Times New Roman" w:cs="Times New Roman"/>
          <w:sz w:val="24"/>
          <w:szCs w:val="24"/>
        </w:rPr>
        <w:t>Tercio debent</w:t>
      </w:r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regere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veraciter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="000D5E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5E4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apparemus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similamus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mercenarii</w:t>
      </w:r>
      <w:proofErr w:type="spellEnd"/>
      <w:r w:rsidR="000D5E45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0D5E45">
        <w:rPr>
          <w:rFonts w:ascii="Times New Roman" w:hAnsi="Times New Roman" w:cs="Times New Roman"/>
          <w:sz w:val="24"/>
          <w:szCs w:val="24"/>
        </w:rPr>
        <w:t>s</w:t>
      </w:r>
      <w:r w:rsidR="00195682">
        <w:rPr>
          <w:rFonts w:ascii="Times New Roman" w:hAnsi="Times New Roman" w:cs="Times New Roman"/>
          <w:sz w:val="24"/>
          <w:szCs w:val="24"/>
        </w:rPr>
        <w:t>umus</w:t>
      </w:r>
      <w:proofErr w:type="spellEnd"/>
      <w:r w:rsidR="0019568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95682">
        <w:rPr>
          <w:rFonts w:ascii="Times New Roman" w:hAnsi="Times New Roman" w:cs="Times New Roman"/>
          <w:sz w:val="24"/>
          <w:szCs w:val="24"/>
        </w:rPr>
        <w:t>v</w:t>
      </w:r>
      <w:r w:rsidR="00B66DF4">
        <w:rPr>
          <w:rFonts w:ascii="Times New Roman" w:hAnsi="Times New Roman" w:cs="Times New Roman"/>
          <w:sz w:val="24"/>
          <w:szCs w:val="24"/>
        </w:rPr>
        <w:t>er</w:t>
      </w:r>
      <w:r w:rsidR="00195682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="00195682">
        <w:rPr>
          <w:rFonts w:ascii="Times New Roman" w:hAnsi="Times New Roman" w:cs="Times New Roman"/>
          <w:sz w:val="24"/>
          <w:szCs w:val="24"/>
        </w:rPr>
        <w:t>, Joan.</w:t>
      </w:r>
      <w:r w:rsidR="001077E0">
        <w:rPr>
          <w:rFonts w:ascii="Times New Roman" w:hAnsi="Times New Roman" w:cs="Times New Roman"/>
          <w:sz w:val="24"/>
          <w:szCs w:val="24"/>
        </w:rPr>
        <w:t xml:space="preserve"> </w:t>
      </w:r>
      <w:r w:rsidR="00195682">
        <w:rPr>
          <w:rFonts w:ascii="Times New Roman" w:hAnsi="Times New Roman" w:cs="Times New Roman"/>
          <w:sz w:val="24"/>
          <w:szCs w:val="24"/>
        </w:rPr>
        <w:t xml:space="preserve">10[:11]: </w:t>
      </w:r>
      <w:r w:rsidR="00195682" w:rsidRPr="00195682">
        <w:rPr>
          <w:rFonts w:ascii="Times New Roman" w:hAnsi="Times New Roman" w:cs="Times New Roman"/>
          <w:i/>
          <w:iCs/>
          <w:sz w:val="24"/>
          <w:szCs w:val="24"/>
        </w:rPr>
        <w:t>Ego sum pastor bonus</w:t>
      </w:r>
      <w:r w:rsidR="00195682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195682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19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8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9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82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19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82">
        <w:rPr>
          <w:rFonts w:ascii="Times New Roman" w:hAnsi="Times New Roman" w:cs="Times New Roman"/>
          <w:sz w:val="24"/>
          <w:szCs w:val="24"/>
        </w:rPr>
        <w:t>impletur</w:t>
      </w:r>
      <w:proofErr w:type="spellEnd"/>
      <w:r w:rsidR="00195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8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95682">
        <w:rPr>
          <w:rFonts w:ascii="Times New Roman" w:hAnsi="Times New Roman" w:cs="Times New Roman"/>
          <w:sz w:val="24"/>
          <w:szCs w:val="24"/>
        </w:rPr>
        <w:t xml:space="preserve"> Zach. 11[:17]: </w:t>
      </w:r>
      <w:r w:rsidR="00195682" w:rsidRPr="00195682">
        <w:rPr>
          <w:rFonts w:ascii="Times New Roman" w:hAnsi="Times New Roman" w:cs="Times New Roman"/>
          <w:i/>
          <w:iCs/>
          <w:sz w:val="24"/>
          <w:szCs w:val="24"/>
        </w:rPr>
        <w:t xml:space="preserve">Pastor et </w:t>
      </w:r>
      <w:proofErr w:type="spellStart"/>
      <w:r w:rsidR="00195682" w:rsidRPr="00195682">
        <w:rPr>
          <w:rFonts w:ascii="Times New Roman" w:hAnsi="Times New Roman" w:cs="Times New Roman"/>
          <w:i/>
          <w:iCs/>
          <w:sz w:val="24"/>
          <w:szCs w:val="24"/>
        </w:rPr>
        <w:t>ydolum</w:t>
      </w:r>
      <w:proofErr w:type="spellEnd"/>
      <w:r w:rsidR="00195682" w:rsidRPr="001956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5682" w:rsidRPr="00195682">
        <w:rPr>
          <w:rFonts w:ascii="Times New Roman" w:hAnsi="Times New Roman" w:cs="Times New Roman"/>
          <w:i/>
          <w:iCs/>
          <w:sz w:val="24"/>
          <w:szCs w:val="24"/>
        </w:rPr>
        <w:t>derelinquen</w:t>
      </w:r>
      <w:r w:rsidR="009A6318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9A6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6318">
        <w:rPr>
          <w:rFonts w:ascii="Times New Roman" w:hAnsi="Times New Roman" w:cs="Times New Roman"/>
          <w:i/>
          <w:iCs/>
          <w:sz w:val="24"/>
          <w:szCs w:val="24"/>
        </w:rPr>
        <w:t>gregem</w:t>
      </w:r>
      <w:proofErr w:type="spellEnd"/>
      <w:r w:rsidR="009A631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894D03" w:rsidRPr="00894D03" w:rsidSect="0089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03"/>
    <w:rsid w:val="000031E8"/>
    <w:rsid w:val="000C1807"/>
    <w:rsid w:val="000D5E45"/>
    <w:rsid w:val="000E786B"/>
    <w:rsid w:val="001077E0"/>
    <w:rsid w:val="00195682"/>
    <w:rsid w:val="00302B70"/>
    <w:rsid w:val="00433B90"/>
    <w:rsid w:val="0060075B"/>
    <w:rsid w:val="006126C8"/>
    <w:rsid w:val="00894D03"/>
    <w:rsid w:val="008E3C78"/>
    <w:rsid w:val="009A6318"/>
    <w:rsid w:val="009E3723"/>
    <w:rsid w:val="00B66DF4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73FA"/>
  <w15:chartTrackingRefBased/>
  <w15:docId w15:val="{5388F7B9-09D6-4FA0-917E-75EE5BD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D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2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2024-04-13T21:38:00Z</dcterms:created>
  <dcterms:modified xsi:type="dcterms:W3CDTF">2024-04-13T21:46:00Z</dcterms:modified>
</cp:coreProperties>
</file>