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86A4" w14:textId="3E458484" w:rsidR="00433B90" w:rsidRPr="00254B86" w:rsidRDefault="00C15F3F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B8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D7386C4" w14:textId="6F22DAC5" w:rsidR="00C15F3F" w:rsidRPr="00254B86" w:rsidRDefault="00C15F3F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B86">
        <w:rPr>
          <w:rFonts w:ascii="Times New Roman" w:hAnsi="Times New Roman" w:cs="Times New Roman"/>
          <w:sz w:val="24"/>
          <w:szCs w:val="24"/>
        </w:rPr>
        <w:t xml:space="preserve">166 Oculus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naturalis</w:t>
      </w:r>
      <w:proofErr w:type="spellEnd"/>
    </w:p>
    <w:p w14:paraId="6F16D493" w14:textId="2928F430" w:rsidR="00495C3A" w:rsidRPr="00254B86" w:rsidRDefault="00495C3A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B86">
        <w:rPr>
          <w:rFonts w:ascii="Times New Roman" w:hAnsi="Times New Roman" w:cs="Times New Roman"/>
          <w:sz w:val="24"/>
          <w:szCs w:val="24"/>
        </w:rPr>
        <w:t xml:space="preserve">Oculus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objectum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. Actus oculi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triplex, scilicet,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rectum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ostendere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cauere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congeriem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. Sic opus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sapientis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ire rectum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. 4[:25]: </w:t>
      </w:r>
      <w:r w:rsidRPr="00254B86">
        <w:rPr>
          <w:rFonts w:ascii="Times New Roman" w:hAnsi="Times New Roman" w:cs="Times New Roman"/>
          <w:i/>
          <w:sz w:val="24"/>
          <w:szCs w:val="24"/>
        </w:rPr>
        <w:t xml:space="preserve">Oculi tui </w:t>
      </w:r>
      <w:proofErr w:type="spellStart"/>
      <w:r w:rsidRPr="00254B86">
        <w:rPr>
          <w:rFonts w:ascii="Times New Roman" w:hAnsi="Times New Roman" w:cs="Times New Roman"/>
          <w:i/>
          <w:sz w:val="24"/>
          <w:szCs w:val="24"/>
        </w:rPr>
        <w:t>videant</w:t>
      </w:r>
      <w:proofErr w:type="spellEnd"/>
      <w:r w:rsidRPr="00254B86">
        <w:rPr>
          <w:rFonts w:ascii="Times New Roman" w:hAnsi="Times New Roman" w:cs="Times New Roman"/>
          <w:i/>
          <w:sz w:val="24"/>
          <w:szCs w:val="24"/>
        </w:rPr>
        <w:t xml:space="preserve"> recta</w:t>
      </w:r>
      <w:r w:rsidRPr="00254B86">
        <w:rPr>
          <w:rFonts w:ascii="Times New Roman" w:hAnsi="Times New Roman" w:cs="Times New Roman"/>
          <w:sz w:val="24"/>
          <w:szCs w:val="24"/>
        </w:rPr>
        <w:t xml:space="preserve">. Matt. 6[:23]: </w:t>
      </w:r>
      <w:r w:rsidRPr="00254B86">
        <w:rPr>
          <w:rFonts w:ascii="Times New Roman" w:hAnsi="Times New Roman" w:cs="Times New Roman"/>
          <w:i/>
          <w:sz w:val="24"/>
          <w:szCs w:val="24"/>
        </w:rPr>
        <w:t xml:space="preserve">Si oculus </w:t>
      </w:r>
      <w:proofErr w:type="spellStart"/>
      <w:r w:rsidRPr="00254B86">
        <w:rPr>
          <w:rFonts w:ascii="Times New Roman" w:hAnsi="Times New Roman" w:cs="Times New Roman"/>
          <w:i/>
          <w:sz w:val="24"/>
          <w:szCs w:val="24"/>
        </w:rPr>
        <w:t>tuus</w:t>
      </w:r>
      <w:proofErr w:type="spellEnd"/>
      <w:r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i/>
          <w:sz w:val="24"/>
          <w:szCs w:val="24"/>
        </w:rPr>
        <w:t>nequam</w:t>
      </w:r>
      <w:proofErr w:type="spellEnd"/>
      <w:r w:rsidR="00F40305">
        <w:rPr>
          <w:rFonts w:ascii="Times New Roman" w:hAnsi="Times New Roman" w:cs="Times New Roman"/>
          <w:i/>
          <w:sz w:val="24"/>
          <w:szCs w:val="24"/>
        </w:rPr>
        <w:t>.</w:t>
      </w:r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F40305">
        <w:rPr>
          <w:rFonts w:ascii="Times New Roman" w:hAnsi="Times New Roman" w:cs="Times New Roman"/>
          <w:sz w:val="24"/>
          <w:szCs w:val="24"/>
        </w:rPr>
        <w:t>S</w:t>
      </w:r>
      <w:r w:rsidRPr="00254B86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2B78F3" w:rsidRPr="00254B86">
        <w:rPr>
          <w:rFonts w:ascii="Times New Roman" w:hAnsi="Times New Roman" w:cs="Times New Roman"/>
          <w:sz w:val="24"/>
          <w:szCs w:val="24"/>
        </w:rPr>
        <w:t xml:space="preserve">rami </w:t>
      </w:r>
      <w:proofErr w:type="spellStart"/>
      <w:r w:rsidR="002B78F3" w:rsidRPr="00254B86">
        <w:rPr>
          <w:rFonts w:ascii="Times New Roman" w:hAnsi="Times New Roman" w:cs="Times New Roman"/>
          <w:sz w:val="24"/>
          <w:szCs w:val="24"/>
        </w:rPr>
        <w:t>hauriunt</w:t>
      </w:r>
      <w:proofErr w:type="spellEnd"/>
      <w:r w:rsidR="002B78F3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F3" w:rsidRPr="00254B86">
        <w:rPr>
          <w:rFonts w:ascii="Times New Roman" w:hAnsi="Times New Roman" w:cs="Times New Roman"/>
          <w:sz w:val="24"/>
          <w:szCs w:val="24"/>
        </w:rPr>
        <w:t>humorem</w:t>
      </w:r>
      <w:proofErr w:type="spellEnd"/>
      <w:r w:rsidR="002B78F3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F3" w:rsidRPr="00254B86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="002B78F3" w:rsidRPr="00254B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B78F3" w:rsidRPr="00254B86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="002B78F3" w:rsidRPr="00254B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B78F3" w:rsidRPr="00254B86">
        <w:rPr>
          <w:rFonts w:ascii="Times New Roman" w:hAnsi="Times New Roman" w:cs="Times New Roman"/>
          <w:sz w:val="24"/>
          <w:szCs w:val="24"/>
        </w:rPr>
        <w:t>radice</w:t>
      </w:r>
      <w:proofErr w:type="spellEnd"/>
      <w:r w:rsidR="002B78F3" w:rsidRPr="00254B86">
        <w:rPr>
          <w:rFonts w:ascii="Times New Roman" w:hAnsi="Times New Roman" w:cs="Times New Roman"/>
          <w:sz w:val="24"/>
          <w:szCs w:val="24"/>
        </w:rPr>
        <w:t xml:space="preserve"> sic opera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qualificantur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E4A5B" w14:textId="77777777" w:rsidR="00BB208B" w:rsidRDefault="002B78F3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B86">
        <w:rPr>
          <w:rFonts w:ascii="Times New Roman" w:hAnsi="Times New Roman" w:cs="Times New Roman"/>
          <w:sz w:val="24"/>
          <w:szCs w:val="24"/>
        </w:rPr>
        <w:t xml:space="preserve">¶ 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cauere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demum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consultat</w:t>
      </w:r>
      <w:r w:rsidRPr="00254B86">
        <w:rPr>
          <w:rFonts w:ascii="Times New Roman" w:hAnsi="Times New Roman" w:cs="Times New Roman"/>
          <w:sz w:val="24"/>
          <w:szCs w:val="24"/>
        </w:rPr>
        <w:t>ion</w:t>
      </w:r>
      <w:r w:rsidR="00495C3A" w:rsidRPr="00254B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cautam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Matt. 5[:29]: </w:t>
      </w:r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Si oculus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tuus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dexter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scandalizat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etc. Ramus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nociuus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amputatur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et membrum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putridum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corumpat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>.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Pr="00254B86">
        <w:rPr>
          <w:rFonts w:ascii="Times New Roman" w:hAnsi="Times New Roman" w:cs="Times New Roman"/>
          <w:sz w:val="24"/>
          <w:szCs w:val="24"/>
        </w:rPr>
        <w:t>S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ic malus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consiliarius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amputari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Haba. 1[:13]: </w:t>
      </w:r>
      <w:r w:rsidR="00495C3A" w:rsidRPr="00254B86">
        <w:rPr>
          <w:rFonts w:ascii="Times New Roman" w:hAnsi="Times New Roman" w:cs="Times New Roman"/>
          <w:i/>
          <w:sz w:val="24"/>
          <w:szCs w:val="24"/>
        </w:rPr>
        <w:t>Mundi sunt oculi tui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50887" w14:textId="77777777" w:rsidR="00BB208B" w:rsidRDefault="002B78F3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B86">
        <w:rPr>
          <w:rFonts w:ascii="Times New Roman" w:hAnsi="Times New Roman" w:cs="Times New Roman"/>
          <w:sz w:val="24"/>
          <w:szCs w:val="24"/>
        </w:rPr>
        <w:t xml:space="preserve">¶ 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commembrum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predicacionem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Job 29[:15]: </w:t>
      </w:r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Oculus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fui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ceco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495C3A" w:rsidRPr="00254B86">
        <w:rPr>
          <w:rFonts w:ascii="Times New Roman" w:hAnsi="Times New Roman" w:cs="Times New Roman"/>
          <w:sz w:val="24"/>
          <w:szCs w:val="24"/>
        </w:rPr>
        <w:t>nota</w:t>
      </w:r>
      <w:r w:rsidRPr="00254B86">
        <w:rPr>
          <w:rFonts w:ascii="Times New Roman" w:hAnsi="Times New Roman" w:cs="Times New Roman"/>
          <w:sz w:val="24"/>
          <w:szCs w:val="24"/>
        </w:rPr>
        <w:t>ndum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sicut oculus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non solum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dirigendum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conducendum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se, sed</w:t>
      </w:r>
      <w:r w:rsidR="00BB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dirigendum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alia membra. Sic oculus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, doctor, id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, predicator, non solum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BB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scribendo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docendo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proficit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6567A9" w:rsidRPr="00254B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567A9" w:rsidRPr="00254B8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BB208B">
        <w:rPr>
          <w:rFonts w:ascii="Times New Roman" w:hAnsi="Times New Roman" w:cs="Times New Roman"/>
          <w:sz w:val="24"/>
          <w:szCs w:val="24"/>
        </w:rPr>
        <w:t xml:space="preserve"> </w:t>
      </w:r>
      <w:r w:rsidR="00F40305">
        <w:rPr>
          <w:rFonts w:ascii="Times New Roman" w:hAnsi="Times New Roman" w:cs="Times New Roman"/>
          <w:sz w:val="24"/>
          <w:szCs w:val="24"/>
        </w:rPr>
        <w:t>f</w:t>
      </w:r>
      <w:r w:rsidR="006567A9" w:rsidRPr="00254B86">
        <w:rPr>
          <w:rFonts w:ascii="Times New Roman" w:hAnsi="Times New Roman" w:cs="Times New Roman"/>
          <w:sz w:val="24"/>
          <w:szCs w:val="24"/>
        </w:rPr>
        <w:t xml:space="preserve">acto. </w:t>
      </w:r>
    </w:p>
    <w:p w14:paraId="26892319" w14:textId="77777777" w:rsidR="00C2449A" w:rsidRDefault="006567A9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B8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O</w:t>
      </w:r>
      <w:r w:rsidR="00495C3A" w:rsidRPr="00254B86">
        <w:rPr>
          <w:rFonts w:ascii="Times New Roman" w:hAnsi="Times New Roman" w:cs="Times New Roman"/>
          <w:sz w:val="24"/>
          <w:szCs w:val="24"/>
        </w:rPr>
        <w:t>bjectum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oculi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coloratum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delectabile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254B8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sapientis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Pr="00254B86">
        <w:rPr>
          <w:rFonts w:ascii="Times New Roman" w:hAnsi="Times New Roman" w:cs="Times New Roman"/>
          <w:sz w:val="24"/>
          <w:szCs w:val="24"/>
        </w:rPr>
        <w:t>in Deum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oculus, Eccle. 2[:14]: </w:t>
      </w:r>
      <w:proofErr w:type="spellStart"/>
      <w:r w:rsidRPr="00254B86">
        <w:rPr>
          <w:rFonts w:ascii="Times New Roman" w:hAnsi="Times New Roman" w:cs="Times New Roman"/>
          <w:i/>
          <w:sz w:val="24"/>
          <w:szCs w:val="24"/>
        </w:rPr>
        <w:t>Sapientis</w:t>
      </w:r>
      <w:proofErr w:type="spellEnd"/>
      <w:r w:rsidRPr="00254B86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culi in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capite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in Christo non in bursa per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non in coquina per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non in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platea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vanitatem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[24:15]: </w:t>
      </w:r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Oculi </w:t>
      </w:r>
      <w:proofErr w:type="spellStart"/>
      <w:r w:rsidRPr="00254B86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254B8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semper ad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48E1" w:rsidRPr="00254B86">
        <w:rPr>
          <w:rFonts w:ascii="Times New Roman" w:hAnsi="Times New Roman" w:cs="Times New Roman"/>
          <w:sz w:val="24"/>
          <w:szCs w:val="24"/>
        </w:rPr>
        <w:t>D</w:t>
      </w:r>
      <w:r w:rsidR="00495C3A" w:rsidRPr="00254B86">
        <w:rPr>
          <w:rFonts w:ascii="Times New Roman" w:hAnsi="Times New Roman" w:cs="Times New Roman"/>
          <w:sz w:val="24"/>
          <w:szCs w:val="24"/>
        </w:rPr>
        <w:t>efectus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oculi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D148E1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E1" w:rsidRPr="00254B86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triplex</w:t>
      </w:r>
      <w:r w:rsidR="00D148E1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E1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qui </w:t>
      </w:r>
      <w:r w:rsidR="00D148E1" w:rsidRPr="00254B86">
        <w:rPr>
          <w:rFonts w:ascii="Times New Roman" w:hAnsi="Times New Roman" w:cs="Times New Roman"/>
          <w:sz w:val="24"/>
          <w:szCs w:val="24"/>
        </w:rPr>
        <w:t>similiter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oculis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spiritualibus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Primus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qu</w:t>
      </w:r>
      <w:r w:rsidR="00D148E1" w:rsidRPr="00254B86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se sed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remociora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48E1" w:rsidRPr="00254B86">
        <w:rPr>
          <w:rFonts w:ascii="Times New Roman" w:hAnsi="Times New Roman" w:cs="Times New Roman"/>
          <w:sz w:val="24"/>
          <w:szCs w:val="24"/>
        </w:rPr>
        <w:t>A</w:t>
      </w:r>
      <w:r w:rsidR="00495C3A" w:rsidRPr="00254B86">
        <w:rPr>
          <w:rFonts w:ascii="Times New Roman" w:hAnsi="Times New Roman" w:cs="Times New Roman"/>
          <w:sz w:val="24"/>
          <w:szCs w:val="24"/>
        </w:rPr>
        <w:t>liter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495C3A" w:rsidRPr="00254B86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="00D148E1" w:rsidRPr="00254B86">
        <w:rPr>
          <w:rFonts w:ascii="Times New Roman" w:hAnsi="Times New Roman" w:cs="Times New Roman"/>
          <w:sz w:val="24"/>
          <w:szCs w:val="24"/>
        </w:rPr>
        <w:t>n</w:t>
      </w:r>
      <w:r w:rsidR="00495C3A" w:rsidRPr="00254B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aur</w:t>
      </w:r>
      <w:r w:rsidR="00D148E1" w:rsidRPr="00254B8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148E1" w:rsidRPr="00254B86">
        <w:rPr>
          <w:rFonts w:ascii="Times New Roman" w:hAnsi="Times New Roman" w:cs="Times New Roman"/>
          <w:sz w:val="24"/>
          <w:szCs w:val="24"/>
        </w:rPr>
        <w:t>.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D148E1" w:rsidRPr="00254B86">
        <w:rPr>
          <w:rFonts w:ascii="Times New Roman" w:hAnsi="Times New Roman" w:cs="Times New Roman"/>
          <w:sz w:val="24"/>
          <w:szCs w:val="24"/>
        </w:rPr>
        <w:t>S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ic multi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collateralium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attendunt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[37:11]: </w:t>
      </w:r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Lumen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oculorum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meorum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mecum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Secundus,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oculi plus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deficiunt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senectute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alii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D148E1" w:rsidRPr="00254B86">
        <w:rPr>
          <w:rFonts w:ascii="Times New Roman" w:hAnsi="Times New Roman" w:cs="Times New Roman"/>
          <w:sz w:val="24"/>
          <w:szCs w:val="24"/>
        </w:rPr>
        <w:t>.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D148E1" w:rsidRPr="00254B86">
        <w:rPr>
          <w:rFonts w:ascii="Times New Roman" w:hAnsi="Times New Roman" w:cs="Times New Roman"/>
          <w:sz w:val="24"/>
          <w:szCs w:val="24"/>
        </w:rPr>
        <w:t>S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ic et multi </w:t>
      </w:r>
      <w:r w:rsidR="00D148E1" w:rsidRPr="00254B86">
        <w:rPr>
          <w:rFonts w:ascii="Times New Roman" w:hAnsi="Times New Roman" w:cs="Times New Roman"/>
          <w:sz w:val="24"/>
          <w:szCs w:val="24"/>
        </w:rPr>
        <w:t>tam</w:t>
      </w:r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clerici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8E1" w:rsidRPr="00254B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sz w:val="24"/>
          <w:szCs w:val="24"/>
        </w:rPr>
        <w:t>laici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, Gen. 27[:1]: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Senuit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Ysaac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caligauerunt</w:t>
      </w:r>
      <w:proofErr w:type="spellEnd"/>
      <w:r w:rsidR="00495C3A" w:rsidRPr="00254B86">
        <w:rPr>
          <w:rFonts w:ascii="Times New Roman" w:hAnsi="Times New Roman" w:cs="Times New Roman"/>
          <w:i/>
          <w:sz w:val="24"/>
          <w:szCs w:val="24"/>
        </w:rPr>
        <w:t xml:space="preserve"> oculi </w:t>
      </w:r>
      <w:proofErr w:type="spellStart"/>
      <w:r w:rsidR="00495C3A" w:rsidRPr="00254B86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="00495C3A" w:rsidRPr="0025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leditur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membrum et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turpius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macula in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254B86">
        <w:rPr>
          <w:rFonts w:ascii="Times New Roman" w:hAnsi="Times New Roman" w:cs="Times New Roman"/>
          <w:sz w:val="24"/>
          <w:szCs w:val="24"/>
        </w:rPr>
        <w:t>.</w:t>
      </w:r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r w:rsidR="00254B86">
        <w:rPr>
          <w:rFonts w:ascii="Times New Roman" w:hAnsi="Times New Roman" w:cs="Times New Roman"/>
          <w:sz w:val="24"/>
          <w:szCs w:val="24"/>
        </w:rPr>
        <w:t>S</w:t>
      </w:r>
      <w:r w:rsidR="00254B86" w:rsidRPr="00254B86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prelato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, Matt. 7[:3]: </w:t>
      </w:r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Quid autem vides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festucam</w:t>
      </w:r>
      <w:proofErr w:type="spellEnd"/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oculo</w:t>
      </w:r>
      <w:proofErr w:type="spellEnd"/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fratris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. 22[:24]: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Pungens</w:t>
      </w:r>
      <w:proofErr w:type="spellEnd"/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oculum</w:t>
      </w:r>
      <w:proofErr w:type="spellEnd"/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producit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lacrimas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B86" w:rsidRPr="00254B8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. 31[:15]: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Nequius</w:t>
      </w:r>
      <w:proofErr w:type="spellEnd"/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oculo</w:t>
      </w:r>
      <w:proofErr w:type="spellEnd"/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quid</w:t>
      </w:r>
      <w:r w:rsidR="00254B8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creatum</w:t>
      </w:r>
      <w:proofErr w:type="spellEnd"/>
      <w:r w:rsidR="00254B86" w:rsidRPr="00254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B86" w:rsidRPr="00254B8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254B86" w:rsidRPr="00254B8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4FF7668" w14:textId="15E77EE6" w:rsidR="008F31E4" w:rsidRDefault="008F31E4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 oculus</w:t>
      </w:r>
      <w:r w:rsidR="00C2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substantia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claritatem</w:t>
      </w:r>
      <w:proofErr w:type="spellEnd"/>
      <w:r w:rsidR="00C2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puritatem</w:t>
      </w:r>
      <w:proofErr w:type="spellEnd"/>
    </w:p>
    <w:p w14:paraId="5F5C3A52" w14:textId="5AB63B38" w:rsidR="008F31E4" w:rsidRDefault="008F31E4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272rb/</w:t>
      </w:r>
    </w:p>
    <w:p w14:paraId="30B96D08" w14:textId="126637AA" w:rsidR="008F31E4" w:rsidRDefault="008F31E4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ignee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 He</w:t>
      </w:r>
      <w:r w:rsidR="00F64E1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 Hec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iocunditatem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</w:t>
      </w:r>
    </w:p>
    <w:p w14:paraId="5FCFAAC6" w14:textId="77777777" w:rsidR="00254B86" w:rsidRDefault="00254B86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62210E" w14:textId="77777777" w:rsidR="00C15F3F" w:rsidRPr="00254B86" w:rsidRDefault="00C15F3F" w:rsidP="00740E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15F3F" w:rsidRPr="00254B86" w:rsidSect="00C15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5934" w14:textId="77777777" w:rsidR="00495C3A" w:rsidRDefault="00495C3A" w:rsidP="00495C3A">
      <w:pPr>
        <w:spacing w:after="0" w:line="240" w:lineRule="auto"/>
      </w:pPr>
      <w:r>
        <w:separator/>
      </w:r>
    </w:p>
  </w:endnote>
  <w:endnote w:type="continuationSeparator" w:id="0">
    <w:p w14:paraId="365ED4CF" w14:textId="77777777" w:rsidR="00495C3A" w:rsidRDefault="00495C3A" w:rsidP="0049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88D2" w14:textId="77777777" w:rsidR="00495C3A" w:rsidRDefault="00495C3A" w:rsidP="00495C3A">
      <w:pPr>
        <w:spacing w:after="0" w:line="240" w:lineRule="auto"/>
      </w:pPr>
      <w:r>
        <w:separator/>
      </w:r>
    </w:p>
  </w:footnote>
  <w:footnote w:type="continuationSeparator" w:id="0">
    <w:p w14:paraId="7202326D" w14:textId="77777777" w:rsidR="00495C3A" w:rsidRDefault="00495C3A" w:rsidP="00495C3A">
      <w:pPr>
        <w:spacing w:after="0" w:line="240" w:lineRule="auto"/>
      </w:pPr>
      <w:r>
        <w:continuationSeparator/>
      </w:r>
    </w:p>
  </w:footnote>
  <w:footnote w:id="1">
    <w:p w14:paraId="3F7C9608" w14:textId="022F9946" w:rsidR="006567A9" w:rsidRPr="00254B86" w:rsidRDefault="006567A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54B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B86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54B8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54B86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254B86">
        <w:rPr>
          <w:rFonts w:ascii="Times New Roman" w:hAnsi="Times New Roman" w:cs="Times New Roman"/>
          <w:sz w:val="24"/>
          <w:szCs w:val="24"/>
        </w:rPr>
        <w:t>. corpus F 80.</w:t>
      </w:r>
    </w:p>
    <w:p w14:paraId="5BC28290" w14:textId="77777777" w:rsidR="006567A9" w:rsidRPr="00254B86" w:rsidRDefault="006567A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069E6FD" w14:textId="52CA37E2" w:rsidR="006567A9" w:rsidRPr="00254B86" w:rsidRDefault="006567A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54B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48E1" w:rsidRPr="00254B86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="00D148E1" w:rsidRPr="00254B8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D148E1" w:rsidRPr="00254B8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="00D148E1" w:rsidRPr="00254B8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="00D148E1" w:rsidRPr="00254B86">
        <w:rPr>
          <w:rFonts w:ascii="Times New Roman" w:hAnsi="Times New Roman" w:cs="Times New Roman"/>
          <w:sz w:val="24"/>
          <w:szCs w:val="24"/>
        </w:rPr>
        <w:t>tui F 80.</w:t>
      </w:r>
    </w:p>
  </w:footnote>
  <w:footnote w:id="3">
    <w:p w14:paraId="4425F1A3" w14:textId="584AB2A4" w:rsidR="00254B86" w:rsidRPr="00254B86" w:rsidRDefault="00254B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54B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54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B86">
        <w:rPr>
          <w:rFonts w:ascii="Times New Roman" w:hAnsi="Times New Roman" w:cs="Times New Roman"/>
          <w:sz w:val="24"/>
          <w:szCs w:val="24"/>
        </w:rPr>
        <w:t>quid ]</w:t>
      </w:r>
      <w:proofErr w:type="gramEnd"/>
      <w:r w:rsidRPr="00254B8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54B86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25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B8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254B8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3F"/>
    <w:rsid w:val="00254B86"/>
    <w:rsid w:val="002B78F3"/>
    <w:rsid w:val="00311B5F"/>
    <w:rsid w:val="00433B90"/>
    <w:rsid w:val="00495C3A"/>
    <w:rsid w:val="0060075B"/>
    <w:rsid w:val="006567A9"/>
    <w:rsid w:val="006941D2"/>
    <w:rsid w:val="00740EE1"/>
    <w:rsid w:val="008E3C78"/>
    <w:rsid w:val="008F31E4"/>
    <w:rsid w:val="009E3723"/>
    <w:rsid w:val="00BB208B"/>
    <w:rsid w:val="00C15F3F"/>
    <w:rsid w:val="00C2449A"/>
    <w:rsid w:val="00D148E1"/>
    <w:rsid w:val="00F40305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BA72"/>
  <w15:chartTrackingRefBased/>
  <w15:docId w15:val="{9755EA72-612A-472C-AB34-04DC7D65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F3F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5C3A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C3A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95C3A"/>
    <w:rPr>
      <w:vertAlign w:val="superscript"/>
    </w:rPr>
  </w:style>
  <w:style w:type="character" w:customStyle="1" w:styleId="highlight">
    <w:name w:val="highlight"/>
    <w:basedOn w:val="DefaultParagraphFont"/>
    <w:rsid w:val="00495C3A"/>
  </w:style>
  <w:style w:type="character" w:styleId="Hyperlink">
    <w:name w:val="Hyperlink"/>
    <w:basedOn w:val="DefaultParagraphFont"/>
    <w:uiPriority w:val="99"/>
    <w:semiHidden/>
    <w:unhideWhenUsed/>
    <w:rsid w:val="00495C3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67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67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FE8E-A7FE-497D-972B-17F27E7E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2024-03-30T13:55:00Z</dcterms:created>
  <dcterms:modified xsi:type="dcterms:W3CDTF">2024-03-30T15:37:00Z</dcterms:modified>
</cp:coreProperties>
</file>