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AB53" w14:textId="77777777" w:rsidR="0013162E" w:rsidRPr="0013162E" w:rsidRDefault="0013162E" w:rsidP="00405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3162E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C8489F5" w14:textId="5C085077" w:rsidR="0013162E" w:rsidRPr="0013162E" w:rsidRDefault="0013162E" w:rsidP="00405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3162E">
        <w:rPr>
          <w:rFonts w:ascii="Times New Roman" w:hAnsi="Times New Roman" w:cs="Times New Roman"/>
          <w:sz w:val="24"/>
          <w:szCs w:val="24"/>
        </w:rPr>
        <w:t>145 Death is triple (</w:t>
      </w:r>
      <w:r w:rsidRPr="0013162E">
        <w:rPr>
          <w:rFonts w:ascii="Times New Roman" w:hAnsi="Times New Roman" w:cs="Times New Roman"/>
          <w:i/>
          <w:iCs/>
          <w:sz w:val="24"/>
          <w:szCs w:val="24"/>
        </w:rPr>
        <w:t>Mors est triplex</w:t>
      </w:r>
      <w:r w:rsidRPr="0013162E">
        <w:rPr>
          <w:rFonts w:ascii="Times New Roman" w:hAnsi="Times New Roman" w:cs="Times New Roman"/>
          <w:sz w:val="24"/>
          <w:szCs w:val="24"/>
        </w:rPr>
        <w:t>)</w:t>
      </w:r>
    </w:p>
    <w:p w14:paraId="6995668C" w14:textId="77777777" w:rsidR="00405AAF" w:rsidRDefault="0013162E" w:rsidP="00405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3162E">
        <w:rPr>
          <w:rFonts w:ascii="Times New Roman" w:hAnsi="Times New Roman" w:cs="Times New Roman"/>
          <w:sz w:val="24"/>
          <w:szCs w:val="24"/>
        </w:rPr>
        <w:t>Death is triple.</w:t>
      </w:r>
      <w:r>
        <w:rPr>
          <w:rFonts w:ascii="Times New Roman" w:hAnsi="Times New Roman" w:cs="Times New Roman"/>
          <w:sz w:val="24"/>
          <w:szCs w:val="24"/>
        </w:rPr>
        <w:t xml:space="preserve"> First is that of nature assumed by all,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 which [2] Kings 14[:14]: “We all die, and like waters, we fall down,” etc. And this death is bitterly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evil according to that of Eccli. 41[:1]: “O death, how bitter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the remembrance of you to a man,” etc. And this is triple for a reason because it despoils </w:t>
      </w:r>
      <w:r w:rsidR="00861950">
        <w:rPr>
          <w:rFonts w:ascii="Times New Roman" w:hAnsi="Times New Roman" w:cs="Times New Roman"/>
          <w:sz w:val="24"/>
          <w:szCs w:val="24"/>
        </w:rPr>
        <w:t>them above compensation, just as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 w:rsidR="00861950">
        <w:rPr>
          <w:rFonts w:ascii="Times New Roman" w:hAnsi="Times New Roman" w:cs="Times New Roman"/>
          <w:sz w:val="24"/>
          <w:szCs w:val="24"/>
        </w:rPr>
        <w:t>a poor man begets the fire of his house, Eccli.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 w:rsidR="00861950">
        <w:rPr>
          <w:rFonts w:ascii="Times New Roman" w:hAnsi="Times New Roman" w:cs="Times New Roman"/>
          <w:sz w:val="24"/>
          <w:szCs w:val="24"/>
        </w:rPr>
        <w:t>11[:18]: “There is one that is enriched by living sparingly.” and after he does not know that death approached and he throws everything away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 w:rsidR="00861950">
        <w:rPr>
          <w:rFonts w:ascii="Times New Roman" w:hAnsi="Times New Roman" w:cs="Times New Roman"/>
          <w:sz w:val="24"/>
          <w:szCs w:val="24"/>
        </w:rPr>
        <w:t>to others, Job 27[:19]: “The rich man when he shall sleep shall take away nothing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 w:rsidR="00861950">
        <w:rPr>
          <w:rFonts w:ascii="Times New Roman" w:hAnsi="Times New Roman" w:cs="Times New Roman"/>
          <w:sz w:val="24"/>
          <w:szCs w:val="24"/>
        </w:rPr>
        <w:t xml:space="preserve">with him.” </w:t>
      </w:r>
    </w:p>
    <w:p w14:paraId="699CE4D9" w14:textId="77777777" w:rsidR="00405AAF" w:rsidRDefault="00861950" w:rsidP="00405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Second, because it torments without end, just as the gallows does to the thief, Psal. [17:5]: “The sorrows of death surrounded me.” The example, Luc. 16[:22]: “The rich man also died,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he was buried in hell.” </w:t>
      </w:r>
    </w:p>
    <w:p w14:paraId="083C9512" w14:textId="77777777" w:rsidR="00405AAF" w:rsidRDefault="00861950" w:rsidP="00405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Third, because it annihilates without the possibility of meriting. The merchant is begotten when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nothing is gained nor is he rewarded by anyone, Job 14[:10]: “Man when he shall be dead, and stripped and consumed, I pray you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is he.” It will be like the state of meriting the honor of the world, the joy of heaven, Psal. [36:35-36]: “</w:t>
      </w:r>
      <w:r w:rsidR="00764E7E">
        <w:rPr>
          <w:rFonts w:ascii="Times New Roman" w:hAnsi="Times New Roman" w:cs="Times New Roman"/>
          <w:sz w:val="24"/>
          <w:szCs w:val="24"/>
        </w:rPr>
        <w:t>I have seen the wicked man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 w:rsidR="00764E7E">
        <w:rPr>
          <w:rFonts w:ascii="Times New Roman" w:hAnsi="Times New Roman" w:cs="Times New Roman"/>
          <w:sz w:val="24"/>
          <w:szCs w:val="24"/>
        </w:rPr>
        <w:t xml:space="preserve">highly exalted.” </w:t>
      </w:r>
    </w:p>
    <w:p w14:paraId="7BA6328F" w14:textId="02D903CD" w:rsidR="00405AAF" w:rsidRDefault="00764E7E" w:rsidP="00405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 the death of nature</w:t>
      </w:r>
      <w:r w:rsidR="00DD7B89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="00DD7B89">
        <w:rPr>
          <w:rFonts w:ascii="Times New Roman" w:hAnsi="Times New Roman" w:cs="Times New Roman"/>
          <w:sz w:val="24"/>
          <w:szCs w:val="24"/>
        </w:rPr>
        <w:t>a just good</w:t>
      </w:r>
      <w:proofErr w:type="gramEnd"/>
      <w:r w:rsidR="00DD7B89">
        <w:rPr>
          <w:rFonts w:ascii="Times New Roman" w:hAnsi="Times New Roman" w:cs="Times New Roman"/>
          <w:sz w:val="24"/>
          <w:szCs w:val="24"/>
        </w:rPr>
        <w:t xml:space="preserve"> according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 w:rsidR="00DD7B89">
        <w:rPr>
          <w:rFonts w:ascii="Times New Roman" w:hAnsi="Times New Roman" w:cs="Times New Roman"/>
          <w:sz w:val="24"/>
          <w:szCs w:val="24"/>
        </w:rPr>
        <w:t xml:space="preserve">to </w:t>
      </w:r>
      <w:r w:rsidR="00CE4489">
        <w:rPr>
          <w:rFonts w:ascii="Times New Roman" w:hAnsi="Times New Roman" w:cs="Times New Roman"/>
          <w:sz w:val="24"/>
          <w:szCs w:val="24"/>
        </w:rPr>
        <w:t>that of</w:t>
      </w:r>
      <w:r w:rsidR="00DD7B89">
        <w:rPr>
          <w:rFonts w:ascii="Times New Roman" w:hAnsi="Times New Roman" w:cs="Times New Roman"/>
          <w:sz w:val="24"/>
          <w:szCs w:val="24"/>
        </w:rPr>
        <w:t xml:space="preserve"> Eccli. 41[:3]: “O death, your sentence is welcome to the man,”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 w:rsidR="00DD7B89">
        <w:rPr>
          <w:rFonts w:ascii="Times New Roman" w:hAnsi="Times New Roman" w:cs="Times New Roman"/>
          <w:sz w:val="24"/>
          <w:szCs w:val="24"/>
        </w:rPr>
        <w:t>etc. And this is for a triple reason. First because it speaks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 w:rsidR="00DD7B89">
        <w:rPr>
          <w:rFonts w:ascii="Times New Roman" w:hAnsi="Times New Roman" w:cs="Times New Roman"/>
          <w:sz w:val="24"/>
          <w:szCs w:val="24"/>
        </w:rPr>
        <w:t>to a great gain, Philip. 1[:21]: “To me, to live is Christ, and to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 w:rsidR="00DD7B89">
        <w:rPr>
          <w:rFonts w:ascii="Times New Roman" w:hAnsi="Times New Roman" w:cs="Times New Roman"/>
          <w:sz w:val="24"/>
          <w:szCs w:val="24"/>
        </w:rPr>
        <w:t>die is gain.” For by the sacrifice a kingdom is acquired, Job 5[:26]: “You shall enter into [the grave] in abundance,” namely the sepulcher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 w:rsidR="00DD7B89">
        <w:rPr>
          <w:rFonts w:ascii="Times New Roman" w:hAnsi="Times New Roman" w:cs="Times New Roman"/>
          <w:sz w:val="24"/>
          <w:szCs w:val="24"/>
        </w:rPr>
        <w:t>of merits. Second because there is much solace in the quiet, just as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 w:rsidR="00DD7B89">
        <w:rPr>
          <w:rFonts w:ascii="Times New Roman" w:hAnsi="Times New Roman" w:cs="Times New Roman"/>
          <w:sz w:val="24"/>
          <w:szCs w:val="24"/>
        </w:rPr>
        <w:t xml:space="preserve">quiet is good after labor, Apo. 14[:13]: “Blessed are the dead, who die in the Lord,” etc., up to “that they may rest.” </w:t>
      </w:r>
    </w:p>
    <w:p w14:paraId="2F204BC1" w14:textId="0E65E0E1" w:rsidR="00BA391E" w:rsidRDefault="00DD7B89" w:rsidP="00405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In truth, however,</w:t>
      </w:r>
      <w:r w:rsidR="00405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death is to be feared of all things, Psal. [17:5]: “</w:t>
      </w:r>
      <w:r w:rsidR="00BA391E">
        <w:rPr>
          <w:rFonts w:ascii="Times New Roman" w:hAnsi="Times New Roman" w:cs="Times New Roman"/>
          <w:sz w:val="24"/>
          <w:szCs w:val="24"/>
        </w:rPr>
        <w:t xml:space="preserve">The sorrows of death surrounded me.” </w:t>
      </w:r>
      <w:r w:rsidR="00293E8E">
        <w:rPr>
          <w:rFonts w:ascii="Times New Roman" w:hAnsi="Times New Roman" w:cs="Times New Roman"/>
          <w:sz w:val="24"/>
          <w:szCs w:val="24"/>
        </w:rPr>
        <w:t>However,</w:t>
      </w:r>
      <w:r w:rsidR="00BA391E">
        <w:rPr>
          <w:rFonts w:ascii="Times New Roman" w:hAnsi="Times New Roman" w:cs="Times New Roman"/>
          <w:sz w:val="24"/>
          <w:szCs w:val="24"/>
        </w:rPr>
        <w:t xml:space="preserve"> because they are public, Psal. [88:49]: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BA391E">
        <w:rPr>
          <w:rFonts w:ascii="Times New Roman" w:hAnsi="Times New Roman" w:cs="Times New Roman"/>
          <w:sz w:val="24"/>
          <w:szCs w:val="24"/>
        </w:rPr>
        <w:t xml:space="preserve">“Who is the man that shall live, and not see death?” </w:t>
      </w:r>
      <w:r w:rsidR="00293E8E">
        <w:rPr>
          <w:rFonts w:ascii="Times New Roman" w:hAnsi="Times New Roman" w:cs="Times New Roman"/>
          <w:sz w:val="24"/>
          <w:szCs w:val="24"/>
        </w:rPr>
        <w:t>However,</w:t>
      </w:r>
      <w:r w:rsidR="00BA391E">
        <w:rPr>
          <w:rFonts w:ascii="Times New Roman" w:hAnsi="Times New Roman" w:cs="Times New Roman"/>
          <w:sz w:val="24"/>
          <w:szCs w:val="24"/>
        </w:rPr>
        <w:t xml:space="preserve"> because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BA391E">
        <w:rPr>
          <w:rFonts w:ascii="Times New Roman" w:hAnsi="Times New Roman" w:cs="Times New Roman"/>
          <w:sz w:val="24"/>
          <w:szCs w:val="24"/>
        </w:rPr>
        <w:t>it is quick, Eccli. 14[12]: “Remember that death is not slow.”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293E8E">
        <w:rPr>
          <w:rFonts w:ascii="Times New Roman" w:hAnsi="Times New Roman" w:cs="Times New Roman"/>
          <w:sz w:val="24"/>
          <w:szCs w:val="24"/>
        </w:rPr>
        <w:t>However,</w:t>
      </w:r>
      <w:r w:rsidR="00BA391E">
        <w:rPr>
          <w:rFonts w:ascii="Times New Roman" w:hAnsi="Times New Roman" w:cs="Times New Roman"/>
          <w:sz w:val="24"/>
          <w:szCs w:val="24"/>
        </w:rPr>
        <w:t xml:space="preserve"> because it is uncertain, Gen. 27[:2]: “You see that I am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391E">
        <w:rPr>
          <w:rFonts w:ascii="Times New Roman" w:hAnsi="Times New Roman" w:cs="Times New Roman"/>
          <w:sz w:val="24"/>
          <w:szCs w:val="24"/>
        </w:rPr>
        <w:t>old, and</w:t>
      </w:r>
      <w:proofErr w:type="gramEnd"/>
      <w:r w:rsidR="00BA391E">
        <w:rPr>
          <w:rFonts w:ascii="Times New Roman" w:hAnsi="Times New Roman" w:cs="Times New Roman"/>
          <w:sz w:val="24"/>
          <w:szCs w:val="24"/>
        </w:rPr>
        <w:t xml:space="preserve"> know not the day of my death.”</w:t>
      </w:r>
    </w:p>
    <w:p w14:paraId="7AA7E12B" w14:textId="668E8F65" w:rsidR="00BA391E" w:rsidRDefault="00BA391E" w:rsidP="00405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 it is to be considered that the death of nature is universal.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293E8E">
        <w:rPr>
          <w:rFonts w:ascii="Times New Roman" w:hAnsi="Times New Roman" w:cs="Times New Roman"/>
          <w:sz w:val="24"/>
          <w:szCs w:val="24"/>
        </w:rPr>
        <w:t>Therefore,</w:t>
      </w:r>
      <w:r>
        <w:rPr>
          <w:rFonts w:ascii="Times New Roman" w:hAnsi="Times New Roman" w:cs="Times New Roman"/>
          <w:sz w:val="24"/>
          <w:szCs w:val="24"/>
        </w:rPr>
        <w:t xml:space="preserve"> it is called the way of all flesh,</w:t>
      </w:r>
    </w:p>
    <w:p w14:paraId="19167FD8" w14:textId="77777777" w:rsidR="00BA391E" w:rsidRDefault="00BA391E" w:rsidP="00405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264vb/</w:t>
      </w:r>
    </w:p>
    <w:p w14:paraId="79BF2306" w14:textId="7AC3D927" w:rsidR="00FC794F" w:rsidRDefault="00BA391E" w:rsidP="00405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Jos. next to last chapter [23:14]: “</w:t>
      </w:r>
      <w:r w:rsidR="0063148F">
        <w:rPr>
          <w:rFonts w:ascii="Times New Roman" w:hAnsi="Times New Roman" w:cs="Times New Roman"/>
          <w:sz w:val="24"/>
          <w:szCs w:val="24"/>
        </w:rPr>
        <w:t>Behold I am going into the way of all the earth.”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63148F">
        <w:rPr>
          <w:rFonts w:ascii="Times New Roman" w:hAnsi="Times New Roman" w:cs="Times New Roman"/>
          <w:sz w:val="24"/>
          <w:szCs w:val="24"/>
        </w:rPr>
        <w:t>And [3] Kings 2[:2]: “I am going the way of all flesh.”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63148F">
        <w:rPr>
          <w:rFonts w:ascii="Times New Roman" w:hAnsi="Times New Roman" w:cs="Times New Roman"/>
          <w:sz w:val="24"/>
          <w:szCs w:val="24"/>
        </w:rPr>
        <w:t>[2] Kings 14[:4]: “We all die, and like waters, we fall down [into the earth].”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63148F">
        <w:rPr>
          <w:rFonts w:ascii="Times New Roman" w:hAnsi="Times New Roman" w:cs="Times New Roman"/>
          <w:sz w:val="24"/>
          <w:szCs w:val="24"/>
        </w:rPr>
        <w:t>Wherefore Bernard,</w:t>
      </w:r>
      <w:r w:rsidR="0063148F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63148F">
        <w:rPr>
          <w:rFonts w:ascii="Times New Roman" w:hAnsi="Times New Roman" w:cs="Times New Roman"/>
          <w:sz w:val="24"/>
          <w:szCs w:val="24"/>
        </w:rPr>
        <w:t xml:space="preserve"> speaking to the devil, O wicked, wicked one, where is that one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63148F">
        <w:rPr>
          <w:rFonts w:ascii="Times New Roman" w:hAnsi="Times New Roman" w:cs="Times New Roman"/>
          <w:sz w:val="24"/>
          <w:szCs w:val="24"/>
        </w:rPr>
        <w:t>who will never die? And this encourages for the contempt of the world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63148F">
        <w:rPr>
          <w:rFonts w:ascii="Times New Roman" w:hAnsi="Times New Roman" w:cs="Times New Roman"/>
          <w:sz w:val="24"/>
          <w:szCs w:val="24"/>
        </w:rPr>
        <w:t>because according to Jerome,</w:t>
      </w:r>
      <w:r w:rsidR="0063148F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2A5726">
        <w:rPr>
          <w:rFonts w:ascii="Times New Roman" w:hAnsi="Times New Roman" w:cs="Times New Roman"/>
          <w:sz w:val="24"/>
          <w:szCs w:val="24"/>
        </w:rPr>
        <w:t xml:space="preserve"> he easily contemns all things who thinks he is about to die.</w:t>
      </w:r>
      <w:r w:rsidR="00FC794F">
        <w:rPr>
          <w:rFonts w:ascii="Times New Roman" w:hAnsi="Times New Roman" w:cs="Times New Roman"/>
          <w:sz w:val="24"/>
          <w:szCs w:val="24"/>
        </w:rPr>
        <w:t xml:space="preserve"> </w:t>
      </w:r>
      <w:r w:rsidR="00293E8E">
        <w:rPr>
          <w:rFonts w:ascii="Times New Roman" w:hAnsi="Times New Roman" w:cs="Times New Roman"/>
          <w:sz w:val="24"/>
          <w:szCs w:val="24"/>
        </w:rPr>
        <w:t>Therefore,</w:t>
      </w:r>
      <w:r w:rsidR="00FC794F">
        <w:rPr>
          <w:rFonts w:ascii="Times New Roman" w:hAnsi="Times New Roman" w:cs="Times New Roman"/>
          <w:sz w:val="24"/>
          <w:szCs w:val="24"/>
        </w:rPr>
        <w:t xml:space="preserve"> it would be better to exchange earthly things in celebration than to lose both.</w:t>
      </w:r>
    </w:p>
    <w:p w14:paraId="60982D9E" w14:textId="77777777" w:rsidR="004C5DCE" w:rsidRDefault="00FC794F" w:rsidP="00405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Second, it is terrible because </w:t>
      </w:r>
      <w:r w:rsidR="00184553">
        <w:rPr>
          <w:rFonts w:ascii="Times New Roman" w:hAnsi="Times New Roman" w:cs="Times New Roman"/>
          <w:sz w:val="24"/>
          <w:szCs w:val="24"/>
        </w:rPr>
        <w:t>it leads through the midst of the enemies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184553">
        <w:rPr>
          <w:rFonts w:ascii="Times New Roman" w:hAnsi="Times New Roman" w:cs="Times New Roman"/>
          <w:sz w:val="24"/>
          <w:szCs w:val="24"/>
        </w:rPr>
        <w:t>to a dubious judgment, Psal. 141:4]: “In this way wherein I walked, they have hidden a snare for me.” For the world is a snare of cupidity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184553">
        <w:rPr>
          <w:rFonts w:ascii="Times New Roman" w:hAnsi="Times New Roman" w:cs="Times New Roman"/>
          <w:sz w:val="24"/>
          <w:szCs w:val="24"/>
        </w:rPr>
        <w:t>which the devil places as if felicity and this encourages the casting out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184553">
        <w:rPr>
          <w:rFonts w:ascii="Times New Roman" w:hAnsi="Times New Roman" w:cs="Times New Roman"/>
          <w:sz w:val="24"/>
          <w:szCs w:val="24"/>
        </w:rPr>
        <w:t xml:space="preserve">of sinners. The thief cited to judgment does not freely </w:t>
      </w:r>
      <w:r w:rsidR="00111CD7">
        <w:rPr>
          <w:rFonts w:ascii="Times New Roman" w:hAnsi="Times New Roman" w:cs="Times New Roman"/>
          <w:sz w:val="24"/>
          <w:szCs w:val="24"/>
        </w:rPr>
        <w:t>take his thieving with him unless he wants to be hanged.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111CD7">
        <w:rPr>
          <w:rFonts w:ascii="Times New Roman" w:hAnsi="Times New Roman" w:cs="Times New Roman"/>
          <w:sz w:val="24"/>
          <w:szCs w:val="24"/>
        </w:rPr>
        <w:t>Therefore Isai. 55[:77]: “Let the wicked forsake his way,”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111CD7">
        <w:rPr>
          <w:rFonts w:ascii="Times New Roman" w:hAnsi="Times New Roman" w:cs="Times New Roman"/>
          <w:sz w:val="24"/>
          <w:szCs w:val="24"/>
        </w:rPr>
        <w:t>etc. Jer. 18[:11]: “Let every man of you return from his evil way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111CD7">
        <w:rPr>
          <w:rFonts w:ascii="Times New Roman" w:hAnsi="Times New Roman" w:cs="Times New Roman"/>
          <w:sz w:val="24"/>
          <w:szCs w:val="24"/>
        </w:rPr>
        <w:t xml:space="preserve">and may your ways [good],” etc. </w:t>
      </w:r>
    </w:p>
    <w:p w14:paraId="74FDDF01" w14:textId="77777777" w:rsidR="004C5DCE" w:rsidRDefault="00111CD7" w:rsidP="00405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Third, irremediable because one does not return to the pure state, Job 16[:23]: “Behold short years pass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away and I am walking in a path by which I shall not return.” This is the way “of a </w:t>
      </w:r>
      <w:r>
        <w:rPr>
          <w:rFonts w:ascii="Times New Roman" w:hAnsi="Times New Roman" w:cs="Times New Roman"/>
          <w:sz w:val="24"/>
          <w:szCs w:val="24"/>
        </w:rPr>
        <w:lastRenderedPageBreak/>
        <w:t>ship in the sea,” Pro</w:t>
      </w:r>
      <w:r w:rsidR="004C5DC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30[:19]. </w:t>
      </w:r>
      <w:r w:rsidR="001A5B09">
        <w:rPr>
          <w:rFonts w:ascii="Times New Roman" w:hAnsi="Times New Roman" w:cs="Times New Roman"/>
          <w:sz w:val="24"/>
          <w:szCs w:val="24"/>
        </w:rPr>
        <w:t>And this raises up a multiplication of merits. Just as a traveling man who does not have a long time goes more forcefully.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1A5B09">
        <w:rPr>
          <w:rFonts w:ascii="Times New Roman" w:hAnsi="Times New Roman" w:cs="Times New Roman"/>
          <w:sz w:val="24"/>
          <w:szCs w:val="24"/>
        </w:rPr>
        <w:t>And the prince changing his dwelling in the hope of returning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1A5B09">
        <w:rPr>
          <w:rFonts w:ascii="Times New Roman" w:hAnsi="Times New Roman" w:cs="Times New Roman"/>
          <w:sz w:val="24"/>
          <w:szCs w:val="24"/>
        </w:rPr>
        <w:t xml:space="preserve">takes more things with him, Eccle. 9[:10]: “Whatsoever your hand is able to do, do it earnestly.” </w:t>
      </w:r>
    </w:p>
    <w:p w14:paraId="2337E9A7" w14:textId="77777777" w:rsidR="004C5DCE" w:rsidRDefault="001A5B09" w:rsidP="00405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The death of one at fault is bitter to anyone, Eccli. 41[:12]: “</w:t>
      </w:r>
      <w:r w:rsidR="00D27790">
        <w:rPr>
          <w:rFonts w:ascii="Times New Roman" w:hAnsi="Times New Roman" w:cs="Times New Roman"/>
          <w:sz w:val="24"/>
          <w:szCs w:val="24"/>
        </w:rPr>
        <w:t>If you are born, you shall be in malediction, it shall be your portion.” Especially if you consider that which is above us, it is God who is offended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D27790">
        <w:rPr>
          <w:rFonts w:ascii="Times New Roman" w:hAnsi="Times New Roman" w:cs="Times New Roman"/>
          <w:sz w:val="24"/>
          <w:szCs w:val="24"/>
        </w:rPr>
        <w:t>because we are separated from him, Prov. 16[:14]: “The wrath of a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D27790">
        <w:rPr>
          <w:rFonts w:ascii="Times New Roman" w:hAnsi="Times New Roman" w:cs="Times New Roman"/>
          <w:sz w:val="24"/>
          <w:szCs w:val="24"/>
        </w:rPr>
        <w:t xml:space="preserve">king is as messengers of death.” </w:t>
      </w:r>
    </w:p>
    <w:p w14:paraId="0EABE6B7" w14:textId="77777777" w:rsidR="004C5DCE" w:rsidRDefault="00D27790" w:rsidP="00405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 if it is considered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is against us, namely, the devil, to whom one is subjected, Psal. [12:4]: “That I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never sleep in death.” </w:t>
      </w:r>
    </w:p>
    <w:p w14:paraId="0291A309" w14:textId="125A3937" w:rsidR="006C7BCA" w:rsidRDefault="00D27790" w:rsidP="00405A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 if t</w:t>
      </w:r>
      <w:r w:rsidR="006C7BCA">
        <w:rPr>
          <w:rFonts w:ascii="Times New Roman" w:hAnsi="Times New Roman" w:cs="Times New Roman"/>
          <w:sz w:val="24"/>
          <w:szCs w:val="24"/>
        </w:rPr>
        <w:t>hat</w:t>
      </w:r>
      <w:r>
        <w:rPr>
          <w:rFonts w:ascii="Times New Roman" w:hAnsi="Times New Roman" w:cs="Times New Roman"/>
          <w:sz w:val="24"/>
          <w:szCs w:val="24"/>
        </w:rPr>
        <w:t xml:space="preserve"> is considered </w:t>
      </w:r>
      <w:r w:rsidR="006C7BCA">
        <w:rPr>
          <w:rFonts w:ascii="Times New Roman" w:hAnsi="Times New Roman" w:cs="Times New Roman"/>
          <w:sz w:val="24"/>
          <w:szCs w:val="24"/>
        </w:rPr>
        <w:t>which is below us, namely, hell to which the sinner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6C7BCA">
        <w:rPr>
          <w:rFonts w:ascii="Times New Roman" w:hAnsi="Times New Roman" w:cs="Times New Roman"/>
          <w:sz w:val="24"/>
          <w:szCs w:val="24"/>
        </w:rPr>
        <w:t xml:space="preserve">is led, [Luke] </w:t>
      </w:r>
      <w:proofErr w:type="gramStart"/>
      <w:r w:rsidR="006C7BCA">
        <w:rPr>
          <w:rFonts w:ascii="Times New Roman" w:hAnsi="Times New Roman" w:cs="Times New Roman"/>
          <w:sz w:val="24"/>
          <w:szCs w:val="24"/>
        </w:rPr>
        <w:t>16</w:t>
      </w:r>
      <w:proofErr w:type="gramEnd"/>
      <w:r w:rsidR="006C7BCA">
        <w:rPr>
          <w:rFonts w:ascii="Times New Roman" w:hAnsi="Times New Roman" w:cs="Times New Roman"/>
          <w:sz w:val="24"/>
          <w:szCs w:val="24"/>
        </w:rPr>
        <w:t xml:space="preserve">[:22]: “The rich man also died, and he was </w:t>
      </w:r>
      <w:r w:rsidR="004C5DCE">
        <w:rPr>
          <w:rFonts w:ascii="Times New Roman" w:hAnsi="Times New Roman" w:cs="Times New Roman"/>
          <w:sz w:val="24"/>
          <w:szCs w:val="24"/>
        </w:rPr>
        <w:t xml:space="preserve">buried </w:t>
      </w:r>
      <w:r w:rsidR="006C7BCA">
        <w:rPr>
          <w:rFonts w:ascii="Times New Roman" w:hAnsi="Times New Roman" w:cs="Times New Roman"/>
          <w:sz w:val="24"/>
          <w:szCs w:val="24"/>
        </w:rPr>
        <w:t xml:space="preserve">in hell.” </w:t>
      </w:r>
      <w:r w:rsidR="00293E8E">
        <w:rPr>
          <w:rFonts w:ascii="Times New Roman" w:hAnsi="Times New Roman" w:cs="Times New Roman"/>
          <w:sz w:val="24"/>
          <w:szCs w:val="24"/>
        </w:rPr>
        <w:t>Again,</w:t>
      </w:r>
      <w:r w:rsidR="006C7BCA">
        <w:rPr>
          <w:rFonts w:ascii="Times New Roman" w:hAnsi="Times New Roman" w:cs="Times New Roman"/>
          <w:sz w:val="24"/>
          <w:szCs w:val="24"/>
        </w:rPr>
        <w:t xml:space="preserve"> if that is considered what is next to us, namely, our neighbor who is killed,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6C7BCA">
        <w:rPr>
          <w:rFonts w:ascii="Times New Roman" w:hAnsi="Times New Roman" w:cs="Times New Roman"/>
          <w:sz w:val="24"/>
          <w:szCs w:val="24"/>
        </w:rPr>
        <w:t>Eccli. 34 [:30]: “He that washes himself after touching the dead, if he touches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6C7BCA">
        <w:rPr>
          <w:rFonts w:ascii="Times New Roman" w:hAnsi="Times New Roman" w:cs="Times New Roman"/>
          <w:sz w:val="24"/>
          <w:szCs w:val="24"/>
        </w:rPr>
        <w:t>him again, what does his washing avail.”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293E8E">
        <w:rPr>
          <w:rFonts w:ascii="Times New Roman" w:hAnsi="Times New Roman" w:cs="Times New Roman"/>
          <w:sz w:val="24"/>
          <w:szCs w:val="24"/>
        </w:rPr>
        <w:t>Again,</w:t>
      </w:r>
      <w:r w:rsidR="006C7BCA">
        <w:rPr>
          <w:rFonts w:ascii="Times New Roman" w:hAnsi="Times New Roman" w:cs="Times New Roman"/>
          <w:sz w:val="24"/>
          <w:szCs w:val="24"/>
        </w:rPr>
        <w:t xml:space="preserve"> if that is considered which is inside, namely, the spirit,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6C7BCA">
        <w:rPr>
          <w:rFonts w:ascii="Times New Roman" w:hAnsi="Times New Roman" w:cs="Times New Roman"/>
          <w:sz w:val="24"/>
          <w:szCs w:val="24"/>
        </w:rPr>
        <w:t>it is killed like one eating something poisoned, Eccli.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6C7BCA">
        <w:rPr>
          <w:rFonts w:ascii="Times New Roman" w:hAnsi="Times New Roman" w:cs="Times New Roman"/>
          <w:sz w:val="24"/>
          <w:szCs w:val="24"/>
        </w:rPr>
        <w:t xml:space="preserve">22[:11]: “Weep for the dead.” For his light </w:t>
      </w:r>
      <w:r w:rsidR="00293E8E">
        <w:rPr>
          <w:rFonts w:ascii="Times New Roman" w:hAnsi="Times New Roman" w:cs="Times New Roman"/>
          <w:sz w:val="24"/>
          <w:szCs w:val="24"/>
        </w:rPr>
        <w:t>had</w:t>
      </w:r>
      <w:r w:rsidR="006C7BCA">
        <w:rPr>
          <w:rFonts w:ascii="Times New Roman" w:hAnsi="Times New Roman" w:cs="Times New Roman"/>
          <w:sz w:val="24"/>
          <w:szCs w:val="24"/>
        </w:rPr>
        <w:t xml:space="preserve"> gone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6C7BCA">
        <w:rPr>
          <w:rFonts w:ascii="Times New Roman" w:hAnsi="Times New Roman" w:cs="Times New Roman"/>
          <w:sz w:val="24"/>
          <w:szCs w:val="24"/>
        </w:rPr>
        <w:t xml:space="preserve">out. </w:t>
      </w:r>
      <w:r w:rsidR="00293E8E">
        <w:rPr>
          <w:rFonts w:ascii="Times New Roman" w:hAnsi="Times New Roman" w:cs="Times New Roman"/>
          <w:sz w:val="24"/>
          <w:szCs w:val="24"/>
        </w:rPr>
        <w:t>Again,</w:t>
      </w:r>
      <w:r w:rsidR="006C7BCA">
        <w:rPr>
          <w:rFonts w:ascii="Times New Roman" w:hAnsi="Times New Roman" w:cs="Times New Roman"/>
          <w:sz w:val="24"/>
          <w:szCs w:val="24"/>
        </w:rPr>
        <w:t xml:space="preserve"> if that is considered </w:t>
      </w:r>
      <w:r w:rsidR="00E14556">
        <w:rPr>
          <w:rFonts w:ascii="Times New Roman" w:hAnsi="Times New Roman" w:cs="Times New Roman"/>
          <w:sz w:val="24"/>
          <w:szCs w:val="24"/>
        </w:rPr>
        <w:t>which is outside us, namely, the body which is killed, just as touching something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E14556">
        <w:rPr>
          <w:rFonts w:ascii="Times New Roman" w:hAnsi="Times New Roman" w:cs="Times New Roman"/>
          <w:sz w:val="24"/>
          <w:szCs w:val="24"/>
        </w:rPr>
        <w:t>contagious, Rom. 7[:24]: “Unhappy man, who shall deliver me from the body</w:t>
      </w:r>
      <w:r w:rsidR="004C5DCE">
        <w:rPr>
          <w:rFonts w:ascii="Times New Roman" w:hAnsi="Times New Roman" w:cs="Times New Roman"/>
          <w:sz w:val="24"/>
          <w:szCs w:val="24"/>
        </w:rPr>
        <w:t xml:space="preserve"> </w:t>
      </w:r>
      <w:r w:rsidR="00E14556">
        <w:rPr>
          <w:rFonts w:ascii="Times New Roman" w:hAnsi="Times New Roman" w:cs="Times New Roman"/>
          <w:sz w:val="24"/>
          <w:szCs w:val="24"/>
        </w:rPr>
        <w:t>of this death.”</w:t>
      </w:r>
    </w:p>
    <w:sectPr w:rsidR="006C7BCA" w:rsidSect="0013162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451A" w14:textId="77777777" w:rsidR="0063148F" w:rsidRDefault="0063148F" w:rsidP="0063148F">
      <w:pPr>
        <w:spacing w:after="0" w:line="240" w:lineRule="auto"/>
      </w:pPr>
      <w:r>
        <w:separator/>
      </w:r>
    </w:p>
  </w:endnote>
  <w:endnote w:type="continuationSeparator" w:id="0">
    <w:p w14:paraId="74A426C6" w14:textId="77777777" w:rsidR="0063148F" w:rsidRDefault="0063148F" w:rsidP="0063148F">
      <w:pPr>
        <w:spacing w:after="0" w:line="240" w:lineRule="auto"/>
      </w:pPr>
      <w:r>
        <w:continuationSeparator/>
      </w:r>
    </w:p>
  </w:endnote>
  <w:endnote w:id="1">
    <w:p w14:paraId="2D8C3FF5" w14:textId="7AE3FE4C" w:rsidR="0063148F" w:rsidRDefault="0063148F">
      <w:pPr>
        <w:pStyle w:val="EndnoteTex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Style w:val="EndnoteReference"/>
        </w:rPr>
        <w:endnoteRef/>
      </w:r>
      <w:r>
        <w:t xml:space="preserve"> </w:t>
      </w:r>
      <w:r w:rsidRPr="00F363E3">
        <w:rPr>
          <w:rFonts w:ascii="Times New Roman" w:hAnsi="Times New Roman" w:cs="Times New Roman"/>
          <w:sz w:val="24"/>
          <w:szCs w:val="24"/>
        </w:rPr>
        <w:t xml:space="preserve">Bernard, </w:t>
      </w:r>
      <w:r w:rsidRPr="00F363E3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F363E3">
        <w:rPr>
          <w:rFonts w:ascii="Times New Roman" w:hAnsi="Times New Roman" w:cs="Times New Roman"/>
          <w:i/>
          <w:iCs/>
          <w:sz w:val="24"/>
          <w:szCs w:val="24"/>
        </w:rPr>
        <w:t>Nativitate</w:t>
      </w:r>
      <w:proofErr w:type="spellEnd"/>
      <w:r w:rsidRPr="00F363E3">
        <w:rPr>
          <w:rFonts w:ascii="Times New Roman" w:hAnsi="Times New Roman" w:cs="Times New Roman"/>
          <w:i/>
          <w:iCs/>
          <w:sz w:val="24"/>
          <w:szCs w:val="24"/>
        </w:rPr>
        <w:t xml:space="preserve"> Domini</w:t>
      </w:r>
      <w:r w:rsidRPr="00F363E3">
        <w:rPr>
          <w:rFonts w:ascii="Times New Roman" w:hAnsi="Times New Roman" w:cs="Times New Roman"/>
          <w:sz w:val="24"/>
          <w:szCs w:val="24"/>
        </w:rPr>
        <w:t xml:space="preserve"> 2.3 (PL 183:121): </w:t>
      </w:r>
      <w:r w:rsidRPr="00F363E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Ubi est </w:t>
      </w:r>
      <w:proofErr w:type="spellStart"/>
      <w:r w:rsidRPr="00F363E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quod</w:t>
      </w:r>
      <w:proofErr w:type="spellEnd"/>
      <w:r w:rsidRPr="00F363E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363E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dixisti</w:t>
      </w:r>
      <w:proofErr w:type="spellEnd"/>
      <w:r w:rsidRPr="00F363E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F363E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nequam</w:t>
      </w:r>
      <w:proofErr w:type="spellEnd"/>
      <w:r w:rsidRPr="00F363E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 </w:t>
      </w:r>
      <w:proofErr w:type="spellStart"/>
      <w:r w:rsidRPr="00F363E3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Nequaquam</w:t>
      </w:r>
      <w:proofErr w:type="spellEnd"/>
      <w:r w:rsidRPr="00F363E3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363E3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moriemini</w:t>
      </w:r>
      <w:proofErr w:type="spellEnd"/>
      <w:r w:rsidRPr="00F363E3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?</w:t>
      </w:r>
      <w:r w:rsidRPr="00F363E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 Ecce </w:t>
      </w:r>
      <w:proofErr w:type="spellStart"/>
      <w:r w:rsidRPr="00F363E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enim</w:t>
      </w:r>
      <w:proofErr w:type="spellEnd"/>
      <w:r w:rsidRPr="00F363E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F363E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morimur</w:t>
      </w:r>
      <w:proofErr w:type="spellEnd"/>
      <w:r w:rsidRPr="00F363E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omnes, et non est homo qui vivat, et non </w:t>
      </w:r>
      <w:proofErr w:type="spellStart"/>
      <w:r w:rsidRPr="00F363E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videat</w:t>
      </w:r>
      <w:proofErr w:type="spellEnd"/>
      <w:r w:rsidRPr="00F363E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mortem.</w:t>
      </w:r>
    </w:p>
    <w:p w14:paraId="71A8CC36" w14:textId="77777777" w:rsidR="0063148F" w:rsidRDefault="0063148F">
      <w:pPr>
        <w:pStyle w:val="EndnoteText"/>
      </w:pPr>
    </w:p>
  </w:endnote>
  <w:endnote w:id="2">
    <w:p w14:paraId="73AF298D" w14:textId="77777777" w:rsidR="0063148F" w:rsidRPr="00F363E3" w:rsidRDefault="0063148F" w:rsidP="0063148F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F363E3">
        <w:rPr>
          <w:rFonts w:ascii="Times New Roman" w:hAnsi="Times New Roman" w:cs="Times New Roman"/>
          <w:color w:val="000000"/>
          <w:sz w:val="24"/>
          <w:szCs w:val="24"/>
        </w:rPr>
        <w:t xml:space="preserve">Jerome, </w:t>
      </w:r>
      <w:proofErr w:type="spellStart"/>
      <w:r w:rsidRPr="006314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Epistola</w:t>
      </w:r>
      <w:proofErr w:type="spellEnd"/>
      <w:r w:rsidRPr="00F363E3">
        <w:rPr>
          <w:rFonts w:ascii="Times New Roman" w:hAnsi="Times New Roman" w:cs="Times New Roman"/>
          <w:color w:val="000000"/>
          <w:sz w:val="24"/>
          <w:szCs w:val="24"/>
        </w:rPr>
        <w:t xml:space="preserve"> 53.10 (PL 22:549): Facile </w:t>
      </w:r>
      <w:proofErr w:type="spellStart"/>
      <w:r w:rsidRPr="00F363E3">
        <w:rPr>
          <w:rFonts w:ascii="Times New Roman" w:hAnsi="Times New Roman" w:cs="Times New Roman"/>
          <w:color w:val="000000"/>
          <w:sz w:val="24"/>
          <w:szCs w:val="24"/>
        </w:rPr>
        <w:t>contemnit</w:t>
      </w:r>
      <w:proofErr w:type="spellEnd"/>
      <w:r w:rsidRPr="00F363E3">
        <w:rPr>
          <w:rFonts w:ascii="Times New Roman" w:hAnsi="Times New Roman" w:cs="Times New Roman"/>
          <w:color w:val="000000"/>
          <w:sz w:val="24"/>
          <w:szCs w:val="24"/>
        </w:rPr>
        <w:t xml:space="preserve"> omnia, qui se semper </w:t>
      </w:r>
      <w:proofErr w:type="spellStart"/>
      <w:r w:rsidRPr="00F363E3">
        <w:rPr>
          <w:rFonts w:ascii="Times New Roman" w:hAnsi="Times New Roman" w:cs="Times New Roman"/>
          <w:color w:val="000000"/>
          <w:sz w:val="24"/>
          <w:szCs w:val="24"/>
        </w:rPr>
        <w:t>cogitat</w:t>
      </w:r>
      <w:proofErr w:type="spellEnd"/>
      <w:r w:rsidRPr="00F363E3">
        <w:rPr>
          <w:rFonts w:ascii="Times New Roman" w:hAnsi="Times New Roman" w:cs="Times New Roman"/>
          <w:color w:val="000000"/>
          <w:sz w:val="24"/>
          <w:szCs w:val="24"/>
        </w:rPr>
        <w:t xml:space="preserve"> esse </w:t>
      </w:r>
      <w:proofErr w:type="spellStart"/>
      <w:r w:rsidRPr="00F363E3">
        <w:rPr>
          <w:rFonts w:ascii="Times New Roman" w:hAnsi="Times New Roman" w:cs="Times New Roman"/>
          <w:color w:val="000000"/>
          <w:sz w:val="24"/>
          <w:szCs w:val="24"/>
        </w:rPr>
        <w:t>moriturum</w:t>
      </w:r>
      <w:proofErr w:type="spellEnd"/>
      <w:r w:rsidRPr="00F363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8719E1" w14:textId="21DA02D5" w:rsidR="0063148F" w:rsidRDefault="0063148F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9266" w14:textId="77777777" w:rsidR="0063148F" w:rsidRDefault="0063148F" w:rsidP="0063148F">
      <w:pPr>
        <w:spacing w:after="0" w:line="240" w:lineRule="auto"/>
      </w:pPr>
      <w:r>
        <w:separator/>
      </w:r>
    </w:p>
  </w:footnote>
  <w:footnote w:type="continuationSeparator" w:id="0">
    <w:p w14:paraId="49BA0D4A" w14:textId="77777777" w:rsidR="0063148F" w:rsidRDefault="0063148F" w:rsidP="00631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2E"/>
    <w:rsid w:val="00111CD7"/>
    <w:rsid w:val="0013162E"/>
    <w:rsid w:val="00184553"/>
    <w:rsid w:val="001A5B09"/>
    <w:rsid w:val="00293E8E"/>
    <w:rsid w:val="002A5726"/>
    <w:rsid w:val="00405AAF"/>
    <w:rsid w:val="00433B90"/>
    <w:rsid w:val="004C5DCE"/>
    <w:rsid w:val="0060075B"/>
    <w:rsid w:val="0063148F"/>
    <w:rsid w:val="006C7BCA"/>
    <w:rsid w:val="00764E7E"/>
    <w:rsid w:val="00861950"/>
    <w:rsid w:val="008E3C78"/>
    <w:rsid w:val="00BA3267"/>
    <w:rsid w:val="00BA391E"/>
    <w:rsid w:val="00CE4489"/>
    <w:rsid w:val="00D27790"/>
    <w:rsid w:val="00DD7B89"/>
    <w:rsid w:val="00E14556"/>
    <w:rsid w:val="00F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E73C"/>
  <w15:chartTrackingRefBased/>
  <w15:docId w15:val="{64A02F7D-C378-42A5-A4F0-2E31C500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13162E"/>
  </w:style>
  <w:style w:type="character" w:styleId="Hyperlink">
    <w:name w:val="Hyperlink"/>
    <w:basedOn w:val="DefaultParagraphFont"/>
    <w:uiPriority w:val="99"/>
    <w:unhideWhenUsed/>
    <w:rsid w:val="001316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14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14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148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3148F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14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48F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27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48569-AF2D-4E7D-B786-FEAD90B7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2024-03-04T20:03:00Z</dcterms:created>
  <dcterms:modified xsi:type="dcterms:W3CDTF">2024-03-04T20:38:00Z</dcterms:modified>
</cp:coreProperties>
</file>