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5B6BD" w14:textId="77777777" w:rsidR="00FD5164" w:rsidRPr="004F4002" w:rsidRDefault="007E4784" w:rsidP="00094926">
      <w:pPr>
        <w:spacing w:line="480" w:lineRule="auto"/>
        <w:rPr>
          <w:rFonts w:ascii="Times New Roman" w:hAnsi="Times New Roman" w:cs="Times New Roman"/>
          <w:sz w:val="24"/>
          <w:szCs w:val="24"/>
        </w:rPr>
      </w:pPr>
      <w:bookmarkStart w:id="0" w:name="_GoBack"/>
      <w:r w:rsidRPr="004F4002">
        <w:rPr>
          <w:rFonts w:ascii="Times New Roman" w:hAnsi="Times New Roman" w:cs="Times New Roman"/>
          <w:sz w:val="24"/>
          <w:szCs w:val="24"/>
        </w:rPr>
        <w:t>6 To Gird U</w:t>
      </w:r>
      <w:r w:rsidR="00FD5164" w:rsidRPr="004F4002">
        <w:rPr>
          <w:rFonts w:ascii="Times New Roman" w:hAnsi="Times New Roman" w:cs="Times New Roman"/>
          <w:sz w:val="24"/>
          <w:szCs w:val="24"/>
        </w:rPr>
        <w:t>p (</w:t>
      </w:r>
      <w:r w:rsidR="00FD5164" w:rsidRPr="004F4002">
        <w:rPr>
          <w:rFonts w:ascii="Times New Roman" w:hAnsi="Times New Roman" w:cs="Times New Roman"/>
          <w:i/>
          <w:iCs/>
          <w:sz w:val="24"/>
          <w:szCs w:val="24"/>
        </w:rPr>
        <w:t>Accingere</w:t>
      </w:r>
      <w:r w:rsidR="00FD5164" w:rsidRPr="004F4002">
        <w:rPr>
          <w:rFonts w:ascii="Times New Roman" w:hAnsi="Times New Roman" w:cs="Times New Roman"/>
          <w:sz w:val="24"/>
          <w:szCs w:val="24"/>
        </w:rPr>
        <w:t>)</w:t>
      </w:r>
    </w:p>
    <w:p w14:paraId="3E203C0A" w14:textId="31161D1D" w:rsidR="00FD5164" w:rsidRPr="004F4002" w:rsidRDefault="00FD5164" w:rsidP="00094926">
      <w:pPr>
        <w:spacing w:line="480" w:lineRule="auto"/>
        <w:rPr>
          <w:rFonts w:ascii="Times New Roman" w:hAnsi="Times New Roman" w:cs="Times New Roman"/>
          <w:sz w:val="24"/>
          <w:szCs w:val="24"/>
        </w:rPr>
      </w:pPr>
      <w:r w:rsidRPr="004F4002">
        <w:rPr>
          <w:rFonts w:ascii="Times New Roman" w:hAnsi="Times New Roman" w:cs="Times New Roman"/>
          <w:sz w:val="24"/>
          <w:szCs w:val="24"/>
        </w:rPr>
        <w:t>According to Hugh,</w:t>
      </w:r>
      <w:r w:rsidR="00DF2020" w:rsidRPr="004F4002">
        <w:rPr>
          <w:rStyle w:val="EndnoteReference"/>
          <w:rFonts w:ascii="Times New Roman" w:hAnsi="Times New Roman" w:cs="Times New Roman"/>
          <w:sz w:val="24"/>
          <w:szCs w:val="24"/>
        </w:rPr>
        <w:endnoteReference w:id="1"/>
      </w:r>
      <w:r w:rsidRPr="004F4002">
        <w:rPr>
          <w:rFonts w:ascii="Times New Roman" w:hAnsi="Times New Roman" w:cs="Times New Roman"/>
          <w:sz w:val="24"/>
          <w:szCs w:val="24"/>
        </w:rPr>
        <w:t xml:space="preserve"> those going to war are girded up, those going on a journey are belted up, and those going to administer are tucked up.</w:t>
      </w:r>
    </w:p>
    <w:p w14:paraId="75AC1B21" w14:textId="77777777" w:rsidR="004C13FA" w:rsidRPr="004F4002" w:rsidRDefault="00FD5164" w:rsidP="00094926">
      <w:pPr>
        <w:spacing w:line="480" w:lineRule="auto"/>
        <w:rPr>
          <w:rFonts w:ascii="Times New Roman" w:hAnsi="Times New Roman" w:cs="Times New Roman"/>
          <w:sz w:val="24"/>
          <w:szCs w:val="24"/>
        </w:rPr>
      </w:pPr>
      <w:r w:rsidRPr="004F4002">
        <w:rPr>
          <w:rFonts w:ascii="Times New Roman" w:hAnsi="Times New Roman" w:cs="Times New Roman"/>
          <w:sz w:val="24"/>
          <w:szCs w:val="24"/>
        </w:rPr>
        <w:t xml:space="preserve">Concerning the first, [1] Macc. 3[:58]: “Judas said: Gird </w:t>
      </w:r>
      <w:r w:rsidR="00F61B95" w:rsidRPr="004F4002">
        <w:rPr>
          <w:rFonts w:ascii="Times New Roman" w:hAnsi="Times New Roman" w:cs="Times New Roman"/>
          <w:sz w:val="24"/>
          <w:szCs w:val="24"/>
        </w:rPr>
        <w:t>yourselves and</w:t>
      </w:r>
      <w:r w:rsidRPr="004F4002">
        <w:rPr>
          <w:rFonts w:ascii="Times New Roman" w:hAnsi="Times New Roman" w:cs="Times New Roman"/>
          <w:sz w:val="24"/>
          <w:szCs w:val="24"/>
        </w:rPr>
        <w:t xml:space="preserve"> be valiant men.” </w:t>
      </w:r>
      <w:r w:rsidR="00F61B95" w:rsidRPr="004F4002">
        <w:rPr>
          <w:rFonts w:ascii="Times New Roman" w:hAnsi="Times New Roman" w:cs="Times New Roman"/>
          <w:sz w:val="24"/>
          <w:szCs w:val="24"/>
        </w:rPr>
        <w:t>Therefore,</w:t>
      </w:r>
      <w:r w:rsidRPr="004F4002">
        <w:rPr>
          <w:rFonts w:ascii="Times New Roman" w:hAnsi="Times New Roman" w:cs="Times New Roman"/>
          <w:sz w:val="24"/>
          <w:szCs w:val="24"/>
        </w:rPr>
        <w:t xml:space="preserve"> Jacob said, Gen. 49[:19]: “Gad, being girded, shall fight.” </w:t>
      </w:r>
    </w:p>
    <w:p w14:paraId="6699B679" w14:textId="77777777" w:rsidR="004C13FA" w:rsidRPr="004F4002" w:rsidRDefault="00FD5164" w:rsidP="00094926">
      <w:pPr>
        <w:spacing w:line="480" w:lineRule="auto"/>
        <w:rPr>
          <w:rFonts w:ascii="Times New Roman" w:hAnsi="Times New Roman" w:cs="Times New Roman"/>
          <w:sz w:val="24"/>
          <w:szCs w:val="24"/>
        </w:rPr>
      </w:pPr>
      <w:r w:rsidRPr="004F4002">
        <w:rPr>
          <w:rFonts w:ascii="Times New Roman" w:hAnsi="Times New Roman" w:cs="Times New Roman"/>
          <w:sz w:val="24"/>
          <w:szCs w:val="24"/>
        </w:rPr>
        <w:t xml:space="preserve">Concerning the second, it is read in Tob. 5[:15]: The angel appeared in the form of a young man “standing girded, and as it were ready to walk.” Again Luke 12[:35]: “Let your loins be girt,” etc. </w:t>
      </w:r>
    </w:p>
    <w:p w14:paraId="31FA38F8" w14:textId="5C499EC7" w:rsidR="00FD5164" w:rsidRPr="004F4002" w:rsidRDefault="00FD5164" w:rsidP="00094926">
      <w:pPr>
        <w:spacing w:line="480" w:lineRule="auto"/>
        <w:rPr>
          <w:rFonts w:ascii="Times New Roman" w:hAnsi="Times New Roman" w:cs="Times New Roman"/>
          <w:sz w:val="24"/>
          <w:szCs w:val="24"/>
        </w:rPr>
      </w:pPr>
      <w:r w:rsidRPr="004F4002">
        <w:rPr>
          <w:rFonts w:ascii="Times New Roman" w:hAnsi="Times New Roman" w:cs="Times New Roman"/>
          <w:sz w:val="24"/>
          <w:szCs w:val="24"/>
        </w:rPr>
        <w:t xml:space="preserve">Concerning the third, Eph. 6[:14]: “Stand therefore, having your loins girt about with truth.” And to the travelers as well as the administrators, therefore it is spoken judiciously </w:t>
      </w:r>
      <w:r w:rsidR="004C13FA" w:rsidRPr="004F4002">
        <w:rPr>
          <w:rFonts w:ascii="Times New Roman" w:hAnsi="Times New Roman" w:cs="Times New Roman"/>
          <w:sz w:val="24"/>
          <w:szCs w:val="24"/>
        </w:rPr>
        <w:t>to us, concerning this girdling,</w:t>
      </w:r>
      <w:r w:rsidRPr="004F4002">
        <w:rPr>
          <w:rFonts w:ascii="Times New Roman" w:hAnsi="Times New Roman" w:cs="Times New Roman"/>
          <w:sz w:val="24"/>
          <w:szCs w:val="24"/>
        </w:rPr>
        <w:t xml:space="preserve"> namely, therefore according to Gregory, 28 </w:t>
      </w:r>
      <w:r w:rsidRPr="004F4002">
        <w:rPr>
          <w:rFonts w:ascii="Times New Roman" w:hAnsi="Times New Roman" w:cs="Times New Roman"/>
          <w:i/>
          <w:iCs/>
          <w:sz w:val="24"/>
          <w:szCs w:val="24"/>
        </w:rPr>
        <w:t>Moralia</w:t>
      </w:r>
      <w:r w:rsidR="004C13FA" w:rsidRPr="004F4002">
        <w:rPr>
          <w:rFonts w:ascii="Times New Roman" w:hAnsi="Times New Roman" w:cs="Times New Roman"/>
          <w:sz w:val="24"/>
          <w:szCs w:val="24"/>
        </w:rPr>
        <w:t>,</w:t>
      </w:r>
      <w:r w:rsidR="001933BC" w:rsidRPr="004F4002">
        <w:rPr>
          <w:rStyle w:val="EndnoteReference"/>
          <w:rFonts w:ascii="Times New Roman" w:hAnsi="Times New Roman" w:cs="Times New Roman"/>
          <w:sz w:val="24"/>
          <w:szCs w:val="24"/>
        </w:rPr>
        <w:endnoteReference w:id="2"/>
      </w:r>
      <w:r w:rsidR="004C13FA" w:rsidRPr="004F4002">
        <w:rPr>
          <w:rFonts w:ascii="Times New Roman" w:hAnsi="Times New Roman" w:cs="Times New Roman"/>
          <w:sz w:val="24"/>
          <w:szCs w:val="24"/>
        </w:rPr>
        <w:t xml:space="preserve"> that just as </w:t>
      </w:r>
      <w:r w:rsidRPr="004F4002">
        <w:rPr>
          <w:rFonts w:ascii="Times New Roman" w:hAnsi="Times New Roman" w:cs="Times New Roman"/>
          <w:sz w:val="24"/>
          <w:szCs w:val="24"/>
        </w:rPr>
        <w:t>one thing is the lust of t</w:t>
      </w:r>
      <w:r w:rsidR="004C13FA" w:rsidRPr="004F4002">
        <w:rPr>
          <w:rFonts w:ascii="Times New Roman" w:hAnsi="Times New Roman" w:cs="Times New Roman"/>
          <w:sz w:val="24"/>
          <w:szCs w:val="24"/>
        </w:rPr>
        <w:t>he flesh, another of the heart,</w:t>
      </w:r>
      <w:r w:rsidRPr="004F4002">
        <w:rPr>
          <w:rFonts w:ascii="Times New Roman" w:hAnsi="Times New Roman" w:cs="Times New Roman"/>
          <w:sz w:val="24"/>
          <w:szCs w:val="24"/>
        </w:rPr>
        <w:t xml:space="preserve"> </w:t>
      </w:r>
      <w:r w:rsidR="00F61B95" w:rsidRPr="004F4002">
        <w:rPr>
          <w:rFonts w:ascii="Times New Roman" w:hAnsi="Times New Roman" w:cs="Times New Roman"/>
          <w:sz w:val="24"/>
          <w:szCs w:val="24"/>
        </w:rPr>
        <w:t>so,</w:t>
      </w:r>
      <w:r w:rsidRPr="004F4002">
        <w:rPr>
          <w:rFonts w:ascii="Times New Roman" w:hAnsi="Times New Roman" w:cs="Times New Roman"/>
          <w:sz w:val="24"/>
          <w:szCs w:val="24"/>
        </w:rPr>
        <w:t xml:space="preserve"> some are girding up the loins of the flesh, others the heart.</w:t>
      </w:r>
    </w:p>
    <w:p w14:paraId="676842FB" w14:textId="77777777" w:rsidR="00F05089" w:rsidRPr="004F4002" w:rsidRDefault="00FD5164" w:rsidP="00094926">
      <w:pPr>
        <w:spacing w:line="480" w:lineRule="auto"/>
        <w:rPr>
          <w:rFonts w:ascii="Times New Roman" w:hAnsi="Times New Roman" w:cs="Times New Roman"/>
          <w:sz w:val="24"/>
          <w:szCs w:val="24"/>
        </w:rPr>
      </w:pPr>
      <w:r w:rsidRPr="004F4002">
        <w:rPr>
          <w:rFonts w:ascii="Times New Roman" w:hAnsi="Times New Roman" w:cs="Times New Roman"/>
          <w:sz w:val="24"/>
          <w:szCs w:val="24"/>
        </w:rPr>
        <w:t>¶ To the sense of which the Holy Spirit moves us, Isaiah 32[:11]: “Gird your loins, your breasts,</w:t>
      </w:r>
      <w:r w:rsidR="004C13FA" w:rsidRPr="004F4002">
        <w:rPr>
          <w:rFonts w:ascii="Times New Roman" w:hAnsi="Times New Roman" w:cs="Times New Roman"/>
          <w:sz w:val="24"/>
          <w:szCs w:val="24"/>
        </w:rPr>
        <w:t>” that is, your heart.</w:t>
      </w:r>
      <w:r w:rsidRPr="004F4002">
        <w:rPr>
          <w:rFonts w:ascii="Times New Roman" w:hAnsi="Times New Roman" w:cs="Times New Roman"/>
          <w:sz w:val="24"/>
          <w:szCs w:val="24"/>
        </w:rPr>
        <w:t xml:space="preserve"> Apo. 1[:13]: “And </w:t>
      </w:r>
      <w:r w:rsidR="00F61B95" w:rsidRPr="004F4002">
        <w:rPr>
          <w:rFonts w:ascii="Times New Roman" w:hAnsi="Times New Roman" w:cs="Times New Roman"/>
          <w:sz w:val="24"/>
          <w:szCs w:val="24"/>
        </w:rPr>
        <w:t>amid</w:t>
      </w:r>
      <w:r w:rsidRPr="004F4002">
        <w:rPr>
          <w:rFonts w:ascii="Times New Roman" w:hAnsi="Times New Roman" w:cs="Times New Roman"/>
          <w:sz w:val="24"/>
          <w:szCs w:val="24"/>
        </w:rPr>
        <w:t xml:space="preserve"> the seven golden candlesticks, one like to the Son of man, clothed with a garment down to the feet, and girt about the paps with a golden girdle.” Who in his heart is chaste from love not from </w:t>
      </w:r>
      <w:proofErr w:type="gramStart"/>
      <w:r w:rsidRPr="004F4002">
        <w:rPr>
          <w:rFonts w:ascii="Times New Roman" w:hAnsi="Times New Roman" w:cs="Times New Roman"/>
          <w:sz w:val="24"/>
          <w:szCs w:val="24"/>
        </w:rPr>
        <w:t>fear.</w:t>
      </w:r>
      <w:proofErr w:type="gramEnd"/>
      <w:r w:rsidRPr="004F4002">
        <w:rPr>
          <w:rFonts w:ascii="Times New Roman" w:hAnsi="Times New Roman" w:cs="Times New Roman"/>
          <w:sz w:val="24"/>
          <w:szCs w:val="24"/>
        </w:rPr>
        <w:t xml:space="preserve"> “A hairy man” met the servants of the king of Samaria, “with a girdle of leather about his loins,” 4 Kings 1[:8]. </w:t>
      </w:r>
    </w:p>
    <w:p w14:paraId="25DE7C90" w14:textId="3895847A" w:rsidR="00FD5164" w:rsidRPr="004F4002" w:rsidRDefault="00FD5164" w:rsidP="00094926">
      <w:pPr>
        <w:spacing w:line="480" w:lineRule="auto"/>
        <w:rPr>
          <w:rFonts w:ascii="Times New Roman" w:hAnsi="Times New Roman" w:cs="Times New Roman"/>
          <w:sz w:val="24"/>
          <w:szCs w:val="24"/>
        </w:rPr>
      </w:pPr>
      <w:r w:rsidRPr="004F4002">
        <w:rPr>
          <w:rFonts w:ascii="Times New Roman" w:hAnsi="Times New Roman" w:cs="Times New Roman"/>
          <w:sz w:val="24"/>
          <w:szCs w:val="24"/>
        </w:rPr>
        <w:t xml:space="preserve">According to Aristotle, in the fourth of </w:t>
      </w:r>
      <w:r w:rsidRPr="004F4002">
        <w:rPr>
          <w:rFonts w:ascii="Times New Roman" w:hAnsi="Times New Roman" w:cs="Times New Roman"/>
          <w:i/>
          <w:iCs/>
          <w:sz w:val="24"/>
          <w:szCs w:val="24"/>
        </w:rPr>
        <w:t>Problematicum</w:t>
      </w:r>
      <w:r w:rsidRPr="004F4002">
        <w:rPr>
          <w:rFonts w:ascii="Times New Roman" w:hAnsi="Times New Roman" w:cs="Times New Roman"/>
          <w:sz w:val="24"/>
          <w:szCs w:val="24"/>
        </w:rPr>
        <w:t>,</w:t>
      </w:r>
      <w:r w:rsidR="001933BC" w:rsidRPr="004F4002">
        <w:rPr>
          <w:rStyle w:val="EndnoteReference"/>
          <w:rFonts w:ascii="Times New Roman" w:hAnsi="Times New Roman" w:cs="Times New Roman"/>
          <w:sz w:val="24"/>
          <w:szCs w:val="24"/>
        </w:rPr>
        <w:endnoteReference w:id="3"/>
      </w:r>
      <w:r w:rsidRPr="004F4002">
        <w:rPr>
          <w:rFonts w:ascii="Times New Roman" w:hAnsi="Times New Roman" w:cs="Times New Roman"/>
          <w:sz w:val="24"/>
          <w:szCs w:val="24"/>
        </w:rPr>
        <w:t xml:space="preserve"> the hairy are naturally lustful, and such ones, if they restrain the body, they are girded about with a leather belt over their reins, because by their reins they are chaste. But the legal priests ought to be girded, the leaders with a belt, as </w:t>
      </w:r>
      <w:r w:rsidRPr="004F4002">
        <w:rPr>
          <w:rFonts w:ascii="Times New Roman" w:hAnsi="Times New Roman" w:cs="Times New Roman"/>
          <w:sz w:val="24"/>
          <w:szCs w:val="24"/>
        </w:rPr>
        <w:lastRenderedPageBreak/>
        <w:t xml:space="preserve">is evident, Lev. 8[:8]: because they ought to be chaste in flesh and spirit. Samuel as a child served in the tabernacle “girded with a linen ephod,” 1 Kings 2[:18]. Tucked up </w:t>
      </w:r>
      <w:r w:rsidR="003753E7" w:rsidRPr="004F4002">
        <w:rPr>
          <w:rFonts w:ascii="Times New Roman" w:hAnsi="Times New Roman" w:cs="Times New Roman"/>
          <w:sz w:val="24"/>
          <w:szCs w:val="24"/>
        </w:rPr>
        <w:t>with</w:t>
      </w:r>
      <w:r w:rsidRPr="004F4002">
        <w:rPr>
          <w:rFonts w:ascii="Times New Roman" w:hAnsi="Times New Roman" w:cs="Times New Roman"/>
          <w:sz w:val="24"/>
          <w:szCs w:val="24"/>
        </w:rPr>
        <w:t xml:space="preserve"> the rue </w:t>
      </w:r>
      <w:r w:rsidR="003753E7" w:rsidRPr="004F4002">
        <w:rPr>
          <w:rFonts w:ascii="Times New Roman" w:hAnsi="Times New Roman" w:cs="Times New Roman"/>
          <w:sz w:val="24"/>
          <w:szCs w:val="24"/>
        </w:rPr>
        <w:t>of the sage garden</w:t>
      </w:r>
      <w:r w:rsidRPr="004F4002">
        <w:rPr>
          <w:rFonts w:ascii="Times New Roman" w:hAnsi="Times New Roman" w:cs="Times New Roman"/>
          <w:sz w:val="24"/>
          <w:szCs w:val="24"/>
        </w:rPr>
        <w:t xml:space="preserve"> the toad may</w:t>
      </w:r>
      <w:r w:rsidR="003753E7" w:rsidRPr="004F4002">
        <w:rPr>
          <w:rFonts w:ascii="Times New Roman" w:hAnsi="Times New Roman" w:cs="Times New Roman"/>
          <w:sz w:val="24"/>
          <w:szCs w:val="24"/>
        </w:rPr>
        <w:t xml:space="preserve"> not</w:t>
      </w:r>
      <w:r w:rsidRPr="004F4002">
        <w:rPr>
          <w:rFonts w:ascii="Times New Roman" w:hAnsi="Times New Roman" w:cs="Times New Roman"/>
          <w:sz w:val="24"/>
          <w:szCs w:val="24"/>
        </w:rPr>
        <w:t xml:space="preserve"> enter, thus the indolent boy ought to gird up with penitence lest the devil find an approach. Wherefore Jerome in an </w:t>
      </w:r>
      <w:r w:rsidRPr="004F4002">
        <w:rPr>
          <w:rFonts w:ascii="Times New Roman" w:hAnsi="Times New Roman" w:cs="Times New Roman"/>
          <w:i/>
          <w:iCs/>
          <w:sz w:val="24"/>
          <w:szCs w:val="24"/>
        </w:rPr>
        <w:t>Epistle</w:t>
      </w:r>
      <w:r w:rsidRPr="004F4002">
        <w:rPr>
          <w:rFonts w:ascii="Times New Roman" w:hAnsi="Times New Roman" w:cs="Times New Roman"/>
          <w:sz w:val="24"/>
          <w:szCs w:val="24"/>
        </w:rPr>
        <w:t>,</w:t>
      </w:r>
      <w:r w:rsidR="001933BC" w:rsidRPr="004F4002">
        <w:rPr>
          <w:rStyle w:val="EndnoteReference"/>
          <w:rFonts w:ascii="Times New Roman" w:hAnsi="Times New Roman" w:cs="Times New Roman"/>
          <w:sz w:val="24"/>
          <w:szCs w:val="24"/>
        </w:rPr>
        <w:endnoteReference w:id="4"/>
      </w:r>
      <w:r w:rsidRPr="004F4002">
        <w:rPr>
          <w:rFonts w:ascii="Times New Roman" w:hAnsi="Times New Roman" w:cs="Times New Roman"/>
          <w:sz w:val="24"/>
          <w:szCs w:val="24"/>
        </w:rPr>
        <w:t xml:space="preserve"> in whatever virtue you flourish, you will drag the whole into the dirt unless you have the girdle of chastity. </w:t>
      </w:r>
      <w:r w:rsidR="00F61B95" w:rsidRPr="004F4002">
        <w:rPr>
          <w:rFonts w:ascii="Times New Roman" w:hAnsi="Times New Roman" w:cs="Times New Roman"/>
          <w:sz w:val="24"/>
          <w:szCs w:val="24"/>
        </w:rPr>
        <w:t>Therefore,</w:t>
      </w:r>
      <w:r w:rsidRPr="004F4002">
        <w:rPr>
          <w:rFonts w:ascii="Times New Roman" w:hAnsi="Times New Roman" w:cs="Times New Roman"/>
          <w:sz w:val="24"/>
          <w:szCs w:val="24"/>
        </w:rPr>
        <w:t xml:space="preserve"> says John [21[:18]: “When you were younger, you did gird yourself. But when you shall be old, another shall gird you.” </w:t>
      </w:r>
      <w:r w:rsidR="00F61B95" w:rsidRPr="004F4002">
        <w:rPr>
          <w:rFonts w:ascii="Times New Roman" w:hAnsi="Times New Roman" w:cs="Times New Roman"/>
          <w:sz w:val="24"/>
          <w:szCs w:val="24"/>
        </w:rPr>
        <w:t>Thus,</w:t>
      </w:r>
      <w:r w:rsidRPr="004F4002">
        <w:rPr>
          <w:rFonts w:ascii="Times New Roman" w:hAnsi="Times New Roman" w:cs="Times New Roman"/>
          <w:sz w:val="24"/>
          <w:szCs w:val="24"/>
        </w:rPr>
        <w:t xml:space="preserve"> it is necessary that the young man be voluntarily girded, the old man in truth is girded through his helplessness. It was commanded to the children of Israel that reins be girded in their going out of Egypt toward the promised land, Exod. 12[:11]. In the figure that whoever ought to go out of this world toward heaven, he ought to be girded in his reins.</w:t>
      </w:r>
    </w:p>
    <w:p w14:paraId="635D70EF" w14:textId="2C4A0A57" w:rsidR="00FD5164" w:rsidRPr="004F4002" w:rsidRDefault="00FD5164" w:rsidP="00094926">
      <w:pPr>
        <w:spacing w:line="480" w:lineRule="auto"/>
        <w:rPr>
          <w:rFonts w:ascii="Times New Roman" w:hAnsi="Times New Roman" w:cs="Times New Roman"/>
          <w:sz w:val="24"/>
          <w:szCs w:val="24"/>
        </w:rPr>
      </w:pPr>
      <w:r w:rsidRPr="004F4002">
        <w:rPr>
          <w:rFonts w:ascii="Times New Roman" w:hAnsi="Times New Roman" w:cs="Times New Roman"/>
          <w:sz w:val="24"/>
          <w:szCs w:val="24"/>
        </w:rPr>
        <w:t xml:space="preserve">¶ Here, however it should be noted that first one is to be girded by chastity, as Gregory says in some </w:t>
      </w:r>
      <w:r w:rsidRPr="004F4002">
        <w:rPr>
          <w:rFonts w:ascii="Times New Roman" w:hAnsi="Times New Roman" w:cs="Times New Roman"/>
          <w:i/>
          <w:iCs/>
          <w:sz w:val="24"/>
          <w:szCs w:val="24"/>
        </w:rPr>
        <w:t xml:space="preserve">Homily </w:t>
      </w:r>
      <w:r w:rsidRPr="004F4002">
        <w:rPr>
          <w:rFonts w:ascii="Times New Roman" w:hAnsi="Times New Roman" w:cs="Times New Roman"/>
          <w:sz w:val="24"/>
          <w:szCs w:val="24"/>
        </w:rPr>
        <w:t>on Easter.</w:t>
      </w:r>
      <w:r w:rsidR="001933BC" w:rsidRPr="004F4002">
        <w:rPr>
          <w:rStyle w:val="EndnoteReference"/>
          <w:rFonts w:ascii="Times New Roman" w:hAnsi="Times New Roman" w:cs="Times New Roman"/>
          <w:sz w:val="24"/>
          <w:szCs w:val="24"/>
        </w:rPr>
        <w:endnoteReference w:id="5"/>
      </w:r>
      <w:r w:rsidRPr="004F4002">
        <w:rPr>
          <w:rFonts w:ascii="Times New Roman" w:hAnsi="Times New Roman" w:cs="Times New Roman"/>
          <w:sz w:val="24"/>
          <w:szCs w:val="24"/>
        </w:rPr>
        <w:t xml:space="preserve"> Luke 17[:7-8]: “But which of you having a servant plowing, or feeding cattle, will say to him, when he is come from the field, </w:t>
      </w:r>
      <w:r w:rsidR="00F61B95" w:rsidRPr="004F4002">
        <w:rPr>
          <w:rFonts w:ascii="Times New Roman" w:hAnsi="Times New Roman" w:cs="Times New Roman"/>
          <w:sz w:val="24"/>
          <w:szCs w:val="24"/>
        </w:rPr>
        <w:t>immediately</w:t>
      </w:r>
      <w:r w:rsidRPr="004F4002">
        <w:rPr>
          <w:rFonts w:ascii="Times New Roman" w:hAnsi="Times New Roman" w:cs="Times New Roman"/>
          <w:sz w:val="24"/>
          <w:szCs w:val="24"/>
        </w:rPr>
        <w:t xml:space="preserve"> go, sit down to meat. And will not rather say to him, </w:t>
      </w:r>
      <w:r w:rsidR="00F61B95" w:rsidRPr="004F4002">
        <w:rPr>
          <w:rFonts w:ascii="Times New Roman" w:hAnsi="Times New Roman" w:cs="Times New Roman"/>
          <w:sz w:val="24"/>
          <w:szCs w:val="24"/>
        </w:rPr>
        <w:t>make</w:t>
      </w:r>
      <w:r w:rsidRPr="004F4002">
        <w:rPr>
          <w:rFonts w:ascii="Times New Roman" w:hAnsi="Times New Roman" w:cs="Times New Roman"/>
          <w:sz w:val="24"/>
          <w:szCs w:val="24"/>
        </w:rPr>
        <w:t xml:space="preserve"> ready my supper, and gird yourself, and serve me, while I eat and drink, and afterwards you shalt eat and drink?”</w:t>
      </w:r>
    </w:p>
    <w:p w14:paraId="12C26BC0" w14:textId="190ABA8A" w:rsidR="00FD5164" w:rsidRPr="004F4002" w:rsidRDefault="00FD5164" w:rsidP="00094926">
      <w:pPr>
        <w:spacing w:line="480" w:lineRule="auto"/>
        <w:rPr>
          <w:rFonts w:ascii="Times New Roman" w:hAnsi="Times New Roman" w:cs="Times New Roman"/>
          <w:sz w:val="24"/>
          <w:szCs w:val="24"/>
        </w:rPr>
      </w:pPr>
      <w:r w:rsidRPr="004F4002">
        <w:rPr>
          <w:rFonts w:ascii="Times New Roman" w:hAnsi="Times New Roman" w:cs="Times New Roman"/>
          <w:sz w:val="24"/>
          <w:szCs w:val="24"/>
        </w:rPr>
        <w:t xml:space="preserve">Travelers are accustomed to </w:t>
      </w:r>
      <w:r w:rsidR="00F61B95" w:rsidRPr="004F4002">
        <w:rPr>
          <w:rFonts w:ascii="Times New Roman" w:hAnsi="Times New Roman" w:cs="Times New Roman"/>
          <w:sz w:val="24"/>
          <w:szCs w:val="24"/>
        </w:rPr>
        <w:t>being</w:t>
      </w:r>
      <w:r w:rsidRPr="004F4002">
        <w:rPr>
          <w:rFonts w:ascii="Times New Roman" w:hAnsi="Times New Roman" w:cs="Times New Roman"/>
          <w:sz w:val="24"/>
          <w:szCs w:val="24"/>
        </w:rPr>
        <w:t xml:space="preserve"> girded up lest for the dung and through the mud they be defiled, swimmers lest in the deep they drown, fighters lest they be hindered. </w:t>
      </w:r>
      <w:r w:rsidR="00F61B95" w:rsidRPr="004F4002">
        <w:rPr>
          <w:rFonts w:ascii="Times New Roman" w:hAnsi="Times New Roman" w:cs="Times New Roman"/>
          <w:sz w:val="24"/>
          <w:szCs w:val="24"/>
        </w:rPr>
        <w:t>Thus,</w:t>
      </w:r>
      <w:r w:rsidRPr="004F4002">
        <w:rPr>
          <w:rFonts w:ascii="Times New Roman" w:hAnsi="Times New Roman" w:cs="Times New Roman"/>
          <w:sz w:val="24"/>
          <w:szCs w:val="24"/>
        </w:rPr>
        <w:t xml:space="preserve"> also we are tucked up by the belt of chastity and cleanness, lest we be defiled by the vice of the flesh; by the tunic of poverty and patience,</w:t>
      </w:r>
      <w:r w:rsidR="003753E7" w:rsidRPr="004F4002">
        <w:rPr>
          <w:rStyle w:val="EndnoteReference"/>
          <w:rFonts w:ascii="Times New Roman" w:hAnsi="Times New Roman" w:cs="Times New Roman"/>
          <w:sz w:val="24"/>
          <w:szCs w:val="24"/>
        </w:rPr>
        <w:endnoteReference w:id="6"/>
      </w:r>
      <w:r w:rsidRPr="004F4002">
        <w:rPr>
          <w:rFonts w:ascii="Times New Roman" w:hAnsi="Times New Roman" w:cs="Times New Roman"/>
          <w:sz w:val="24"/>
          <w:szCs w:val="24"/>
        </w:rPr>
        <w:t xml:space="preserve"> lest we be endangered by a worldly shipwreck; by the corselet of charity and constancy, so that we are not overcome in the assault. Concerning the first, Luke 12[:35]: “Let your loins be girt.” Concerning the second, 4 Kings 1[:8]: “A hairy man with a girdle of leather,” that is said of Elias, who was poor. Concerning the third, [1] Macc. 3[:3]: “Juda put on a breastplate.”</w:t>
      </w:r>
      <w:bookmarkEnd w:id="0"/>
    </w:p>
    <w:sectPr w:rsidR="00FD5164" w:rsidRPr="004F4002" w:rsidSect="00B55A2F">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9E3B3" w14:textId="77777777" w:rsidR="00D67A0C" w:rsidRDefault="00D67A0C" w:rsidP="00DF2020">
      <w:pPr>
        <w:spacing w:after="0" w:line="240" w:lineRule="auto"/>
      </w:pPr>
      <w:r>
        <w:separator/>
      </w:r>
    </w:p>
  </w:endnote>
  <w:endnote w:type="continuationSeparator" w:id="0">
    <w:p w14:paraId="66C0F38B" w14:textId="77777777" w:rsidR="00D67A0C" w:rsidRDefault="00D67A0C" w:rsidP="00DF2020">
      <w:pPr>
        <w:spacing w:after="0" w:line="240" w:lineRule="auto"/>
      </w:pPr>
      <w:r>
        <w:continuationSeparator/>
      </w:r>
    </w:p>
  </w:endnote>
  <w:endnote w:id="1">
    <w:p w14:paraId="7DC3D11D" w14:textId="0D6B0C5E" w:rsidR="00DF2020" w:rsidRPr="009F6B83" w:rsidRDefault="00DF2020">
      <w:pPr>
        <w:pStyle w:val="EndnoteText"/>
        <w:rPr>
          <w:rFonts w:ascii="Times New Roman" w:hAnsi="Times New Roman" w:cs="Times New Roman"/>
          <w:sz w:val="24"/>
          <w:szCs w:val="24"/>
        </w:rPr>
      </w:pPr>
      <w:r w:rsidRPr="009F6B83">
        <w:rPr>
          <w:rStyle w:val="EndnoteReference"/>
          <w:rFonts w:ascii="Times New Roman" w:hAnsi="Times New Roman" w:cs="Times New Roman"/>
          <w:sz w:val="24"/>
          <w:szCs w:val="24"/>
        </w:rPr>
        <w:endnoteRef/>
      </w:r>
      <w:r w:rsidRPr="009F6B83">
        <w:rPr>
          <w:rFonts w:ascii="Times New Roman" w:hAnsi="Times New Roman" w:cs="Times New Roman"/>
          <w:sz w:val="24"/>
          <w:szCs w:val="24"/>
        </w:rPr>
        <w:t xml:space="preserve"> Huguccio of Pisa, </w:t>
      </w:r>
      <w:r w:rsidRPr="009F6B83">
        <w:rPr>
          <w:rFonts w:ascii="Times New Roman" w:hAnsi="Times New Roman" w:cs="Times New Roman"/>
          <w:i/>
          <w:iCs/>
          <w:sz w:val="24"/>
          <w:szCs w:val="24"/>
        </w:rPr>
        <w:t>Derivationes</w:t>
      </w:r>
      <w:r w:rsidRPr="009F6B83">
        <w:rPr>
          <w:rFonts w:ascii="Times New Roman" w:hAnsi="Times New Roman" w:cs="Times New Roman"/>
          <w:sz w:val="24"/>
          <w:szCs w:val="24"/>
        </w:rPr>
        <w:t xml:space="preserve"> C 181 (2:235): [1] </w:t>
      </w:r>
      <w:r w:rsidRPr="009F6B83">
        <w:rPr>
          <w:rFonts w:ascii="Times New Roman" w:hAnsi="Times New Roman" w:cs="Times New Roman"/>
          <w:b/>
          <w:bCs/>
          <w:sz w:val="24"/>
          <w:szCs w:val="24"/>
        </w:rPr>
        <w:t>Cingo</w:t>
      </w:r>
      <w:r w:rsidRPr="009F6B83">
        <w:rPr>
          <w:rFonts w:ascii="Times New Roman" w:hAnsi="Times New Roman" w:cs="Times New Roman"/>
          <w:sz w:val="24"/>
          <w:szCs w:val="24"/>
        </w:rPr>
        <w:t xml:space="preserve"> -gis -xi cinctum, vunde verbalia, et </w:t>
      </w:r>
      <w:r w:rsidRPr="009F6B83">
        <w:rPr>
          <w:rFonts w:ascii="Times New Roman" w:hAnsi="Times New Roman" w:cs="Times New Roman"/>
          <w:b/>
          <w:bCs/>
          <w:sz w:val="24"/>
          <w:szCs w:val="24"/>
        </w:rPr>
        <w:t>cinctim</w:t>
      </w:r>
      <w:r w:rsidRPr="009F6B83">
        <w:rPr>
          <w:rFonts w:ascii="Times New Roman" w:hAnsi="Times New Roman" w:cs="Times New Roman"/>
          <w:sz w:val="24"/>
          <w:szCs w:val="24"/>
        </w:rPr>
        <w:t xml:space="preserve">, id est scrictim, consertim, adverbium ... [8] Cingo componitur </w:t>
      </w:r>
      <w:r w:rsidRPr="009F6B83">
        <w:rPr>
          <w:rFonts w:ascii="Times New Roman" w:hAnsi="Times New Roman" w:cs="Times New Roman"/>
          <w:b/>
          <w:bCs/>
          <w:sz w:val="24"/>
          <w:szCs w:val="24"/>
        </w:rPr>
        <w:t>accingo</w:t>
      </w:r>
      <w:r w:rsidRPr="009F6B83">
        <w:rPr>
          <w:rFonts w:ascii="Times New Roman" w:hAnsi="Times New Roman" w:cs="Times New Roman"/>
          <w:sz w:val="24"/>
          <w:szCs w:val="24"/>
        </w:rPr>
        <w:t xml:space="preserve"> -gis, valde cingere, preparare, adornare; </w:t>
      </w:r>
      <w:r w:rsidRPr="009F6B83">
        <w:rPr>
          <w:rFonts w:ascii="Times New Roman" w:hAnsi="Times New Roman" w:cs="Times New Roman"/>
          <w:b/>
          <w:bCs/>
          <w:sz w:val="24"/>
          <w:szCs w:val="24"/>
        </w:rPr>
        <w:t>circumcingo</w:t>
      </w:r>
      <w:r w:rsidRPr="009F6B83">
        <w:rPr>
          <w:rFonts w:ascii="Times New Roman" w:hAnsi="Times New Roman" w:cs="Times New Roman"/>
          <w:sz w:val="24"/>
          <w:szCs w:val="24"/>
        </w:rPr>
        <w:t xml:space="preserve"> -gis; </w:t>
      </w:r>
      <w:r w:rsidRPr="009F6B83">
        <w:rPr>
          <w:rFonts w:ascii="Times New Roman" w:hAnsi="Times New Roman" w:cs="Times New Roman"/>
          <w:b/>
          <w:bCs/>
          <w:sz w:val="24"/>
          <w:szCs w:val="24"/>
        </w:rPr>
        <w:t>discingo</w:t>
      </w:r>
      <w:r w:rsidRPr="009F6B83">
        <w:rPr>
          <w:rFonts w:ascii="Times New Roman" w:hAnsi="Times New Roman" w:cs="Times New Roman"/>
          <w:sz w:val="24"/>
          <w:szCs w:val="24"/>
        </w:rPr>
        <w:t xml:space="preserve"> -gis; </w:t>
      </w:r>
      <w:r w:rsidRPr="009F6B83">
        <w:rPr>
          <w:rFonts w:ascii="Times New Roman" w:hAnsi="Times New Roman" w:cs="Times New Roman"/>
          <w:b/>
          <w:bCs/>
          <w:sz w:val="24"/>
          <w:szCs w:val="24"/>
        </w:rPr>
        <w:t>incingo</w:t>
      </w:r>
      <w:r w:rsidRPr="009F6B83">
        <w:rPr>
          <w:rFonts w:ascii="Times New Roman" w:hAnsi="Times New Roman" w:cs="Times New Roman"/>
          <w:sz w:val="24"/>
          <w:szCs w:val="24"/>
        </w:rPr>
        <w:t xml:space="preserve"> -gis, idest valde cingere; [9] </w:t>
      </w:r>
      <w:r w:rsidRPr="009F6B83">
        <w:rPr>
          <w:rFonts w:ascii="Times New Roman" w:hAnsi="Times New Roman" w:cs="Times New Roman"/>
          <w:b/>
          <w:bCs/>
          <w:sz w:val="24"/>
          <w:szCs w:val="24"/>
        </w:rPr>
        <w:t>precingo</w:t>
      </w:r>
      <w:r w:rsidRPr="009F6B83">
        <w:rPr>
          <w:rFonts w:ascii="Times New Roman" w:hAnsi="Times New Roman" w:cs="Times New Roman"/>
          <w:sz w:val="24"/>
          <w:szCs w:val="24"/>
        </w:rPr>
        <w:t xml:space="preserve"> -gis, idest ante vel ab ant eriori parte vel sursum cingere; </w:t>
      </w:r>
      <w:r w:rsidRPr="009F6B83">
        <w:rPr>
          <w:rFonts w:ascii="Times New Roman" w:hAnsi="Times New Roman" w:cs="Times New Roman"/>
          <w:b/>
          <w:bCs/>
          <w:sz w:val="24"/>
          <w:szCs w:val="24"/>
        </w:rPr>
        <w:t>recingo</w:t>
      </w:r>
      <w:r w:rsidRPr="009F6B83">
        <w:rPr>
          <w:rFonts w:ascii="Times New Roman" w:hAnsi="Times New Roman" w:cs="Times New Roman"/>
          <w:sz w:val="24"/>
          <w:szCs w:val="24"/>
        </w:rPr>
        <w:t xml:space="preserve"> -gis, idest discingere; [10] </w:t>
      </w:r>
      <w:r w:rsidRPr="009F6B83">
        <w:rPr>
          <w:rFonts w:ascii="Times New Roman" w:hAnsi="Times New Roman" w:cs="Times New Roman"/>
          <w:b/>
          <w:bCs/>
          <w:sz w:val="24"/>
          <w:szCs w:val="24"/>
        </w:rPr>
        <w:t>succingo</w:t>
      </w:r>
      <w:r w:rsidRPr="009F6B83">
        <w:rPr>
          <w:rFonts w:ascii="Times New Roman" w:hAnsi="Times New Roman" w:cs="Times New Roman"/>
          <w:sz w:val="24"/>
          <w:szCs w:val="24"/>
        </w:rPr>
        <w:t xml:space="preserve"> -gis, subtus cingere, unde hoc </w:t>
      </w:r>
      <w:r w:rsidRPr="009F6B83">
        <w:rPr>
          <w:rFonts w:ascii="Times New Roman" w:hAnsi="Times New Roman" w:cs="Times New Roman"/>
          <w:b/>
          <w:bCs/>
          <w:sz w:val="24"/>
          <w:szCs w:val="24"/>
        </w:rPr>
        <w:t>cuccinctorium</w:t>
      </w:r>
      <w:r w:rsidRPr="009F6B83">
        <w:rPr>
          <w:rFonts w:ascii="Times New Roman" w:hAnsi="Times New Roman" w:cs="Times New Roman"/>
          <w:sz w:val="24"/>
          <w:szCs w:val="24"/>
        </w:rPr>
        <w:t xml:space="preserve"> quo succingimur; et nota quod accingimur bellaturi, precingimur ituri, succingimur minitraturi. Cingo et composita ab eo sunt activa.</w:t>
      </w:r>
    </w:p>
    <w:p w14:paraId="5EC62BB1" w14:textId="77777777" w:rsidR="00DF2020" w:rsidRPr="009F6B83" w:rsidRDefault="00DF2020">
      <w:pPr>
        <w:pStyle w:val="EndnoteText"/>
        <w:rPr>
          <w:rFonts w:ascii="Times New Roman" w:hAnsi="Times New Roman" w:cs="Times New Roman"/>
          <w:sz w:val="24"/>
          <w:szCs w:val="24"/>
        </w:rPr>
      </w:pPr>
    </w:p>
  </w:endnote>
  <w:endnote w:id="2">
    <w:p w14:paraId="0F5D253E" w14:textId="7CAD95AC" w:rsidR="001933BC" w:rsidRPr="009F6B83" w:rsidRDefault="001933BC">
      <w:pPr>
        <w:pStyle w:val="EndnoteText"/>
        <w:rPr>
          <w:rFonts w:ascii="Times New Roman" w:hAnsi="Times New Roman" w:cs="Times New Roman"/>
          <w:sz w:val="24"/>
          <w:szCs w:val="24"/>
        </w:rPr>
      </w:pPr>
      <w:r w:rsidRPr="009F6B83">
        <w:rPr>
          <w:rStyle w:val="EndnoteReference"/>
          <w:rFonts w:ascii="Times New Roman" w:hAnsi="Times New Roman" w:cs="Times New Roman"/>
          <w:sz w:val="24"/>
          <w:szCs w:val="24"/>
        </w:rPr>
        <w:endnoteRef/>
      </w:r>
      <w:r w:rsidRPr="009F6B83">
        <w:rPr>
          <w:rFonts w:ascii="Times New Roman" w:hAnsi="Times New Roman" w:cs="Times New Roman"/>
          <w:sz w:val="24"/>
          <w:szCs w:val="24"/>
        </w:rPr>
        <w:t xml:space="preserve"> Gregory, </w:t>
      </w:r>
      <w:r w:rsidRPr="009F6B83">
        <w:rPr>
          <w:rFonts w:ascii="Times New Roman" w:hAnsi="Times New Roman" w:cs="Times New Roman"/>
          <w:i/>
          <w:iCs/>
          <w:sz w:val="24"/>
          <w:szCs w:val="24"/>
        </w:rPr>
        <w:t>Moralia</w:t>
      </w:r>
      <w:r w:rsidRPr="009F6B83">
        <w:rPr>
          <w:rFonts w:ascii="Times New Roman" w:hAnsi="Times New Roman" w:cs="Times New Roman"/>
          <w:sz w:val="24"/>
          <w:szCs w:val="24"/>
        </w:rPr>
        <w:t xml:space="preserve"> 28.3.12 (PL 76.453): Accinge sicut vir lumbos tuos, id est, sicut fortis restringe luxuriam, nisi quia alia est luxuria carnis qua castitatem corrumpimus, alia vero luxuria cordis est qua de castitate gloriamur?</w:t>
      </w:r>
    </w:p>
    <w:p w14:paraId="2A53F45A" w14:textId="77777777" w:rsidR="001933BC" w:rsidRPr="009F6B83" w:rsidRDefault="001933BC">
      <w:pPr>
        <w:pStyle w:val="EndnoteText"/>
        <w:rPr>
          <w:rFonts w:ascii="Times New Roman" w:hAnsi="Times New Roman" w:cs="Times New Roman"/>
          <w:sz w:val="24"/>
          <w:szCs w:val="24"/>
        </w:rPr>
      </w:pPr>
    </w:p>
  </w:endnote>
  <w:endnote w:id="3">
    <w:p w14:paraId="4DB586F0" w14:textId="77777777" w:rsidR="001933BC" w:rsidRPr="009F6B83" w:rsidRDefault="001933BC" w:rsidP="001933BC">
      <w:pPr>
        <w:pStyle w:val="EndnoteText"/>
        <w:rPr>
          <w:rFonts w:ascii="Times New Roman" w:hAnsi="Times New Roman" w:cs="Times New Roman"/>
          <w:sz w:val="24"/>
          <w:szCs w:val="24"/>
        </w:rPr>
      </w:pPr>
      <w:r w:rsidRPr="009F6B83">
        <w:rPr>
          <w:rStyle w:val="EndnoteReference"/>
          <w:rFonts w:ascii="Times New Roman" w:hAnsi="Times New Roman" w:cs="Times New Roman"/>
          <w:sz w:val="24"/>
          <w:szCs w:val="24"/>
        </w:rPr>
        <w:endnoteRef/>
      </w:r>
      <w:r w:rsidRPr="009F6B83">
        <w:rPr>
          <w:rFonts w:ascii="Times New Roman" w:hAnsi="Times New Roman" w:cs="Times New Roman"/>
          <w:sz w:val="24"/>
          <w:szCs w:val="24"/>
        </w:rPr>
        <w:t xml:space="preserve"> Aristotle, </w:t>
      </w:r>
      <w:r w:rsidRPr="009F6B83">
        <w:rPr>
          <w:rFonts w:ascii="Times New Roman" w:hAnsi="Times New Roman" w:cs="Times New Roman"/>
          <w:i/>
          <w:iCs/>
          <w:sz w:val="24"/>
          <w:szCs w:val="24"/>
        </w:rPr>
        <w:t>Problems</w:t>
      </w:r>
      <w:r w:rsidRPr="009F6B83">
        <w:rPr>
          <w:rFonts w:ascii="Times New Roman" w:hAnsi="Times New Roman" w:cs="Times New Roman"/>
          <w:sz w:val="24"/>
          <w:szCs w:val="24"/>
        </w:rPr>
        <w:t xml:space="preserve"> 4.4 876b33 (Barnes 2:1351): Why is it that man alone grows hair when he begins to be capable of sexual intercourse, whereas this does not happen in the other animals which have hair? ...because animals which emit semen become drier and rarer, conditions which are favourable to the growth of hair. </w:t>
      </w:r>
    </w:p>
    <w:p w14:paraId="48067F8D" w14:textId="77777777" w:rsidR="001933BC" w:rsidRPr="009F6B83" w:rsidRDefault="001933BC" w:rsidP="001933BC">
      <w:pPr>
        <w:pStyle w:val="EndnoteText"/>
        <w:rPr>
          <w:rFonts w:ascii="Times New Roman" w:hAnsi="Times New Roman" w:cs="Times New Roman"/>
          <w:sz w:val="24"/>
          <w:szCs w:val="24"/>
        </w:rPr>
      </w:pPr>
      <w:r w:rsidRPr="009F6B83">
        <w:rPr>
          <w:rFonts w:ascii="Times New Roman" w:hAnsi="Times New Roman" w:cs="Times New Roman"/>
          <w:sz w:val="24"/>
          <w:szCs w:val="24"/>
        </w:rPr>
        <w:t>4.31 880a34 (Barnes 2:1358): Why are birds, and men with thick hair, lustful? ...the real reason that the natures both of birds and of thickhaired men are able owing to their heat to concoct a large quantity of moisture? This is indicated by the presence of hair and feathers. ....</w:t>
      </w:r>
    </w:p>
    <w:p w14:paraId="2A025137" w14:textId="77777777" w:rsidR="00430A23" w:rsidRPr="009F6B83" w:rsidRDefault="00430A23" w:rsidP="001933BC">
      <w:pPr>
        <w:pStyle w:val="EndnoteText"/>
        <w:rPr>
          <w:rFonts w:ascii="Times New Roman" w:hAnsi="Times New Roman" w:cs="Times New Roman"/>
          <w:sz w:val="24"/>
          <w:szCs w:val="24"/>
        </w:rPr>
      </w:pPr>
    </w:p>
    <w:p w14:paraId="3C58204F" w14:textId="10A5217C" w:rsidR="001933BC" w:rsidRPr="009F6B83" w:rsidRDefault="001933BC" w:rsidP="001933BC">
      <w:pPr>
        <w:pStyle w:val="EndnoteText"/>
        <w:rPr>
          <w:rFonts w:ascii="Times New Roman" w:hAnsi="Times New Roman" w:cs="Times New Roman"/>
          <w:sz w:val="24"/>
          <w:szCs w:val="24"/>
        </w:rPr>
      </w:pPr>
      <w:r w:rsidRPr="009F6B83">
        <w:rPr>
          <w:rFonts w:ascii="Times New Roman" w:hAnsi="Times New Roman" w:cs="Times New Roman"/>
          <w:sz w:val="24"/>
          <w:szCs w:val="24"/>
        </w:rPr>
        <w:t xml:space="preserve">Cf. </w:t>
      </w:r>
      <w:r w:rsidRPr="009F6B83">
        <w:rPr>
          <w:rFonts w:ascii="Times New Roman" w:hAnsi="Times New Roman" w:cs="Times New Roman"/>
          <w:i/>
          <w:iCs/>
          <w:sz w:val="24"/>
          <w:szCs w:val="24"/>
        </w:rPr>
        <w:t>History of Animals</w:t>
      </w:r>
      <w:r w:rsidRPr="009F6B83">
        <w:rPr>
          <w:rFonts w:ascii="Times New Roman" w:hAnsi="Times New Roman" w:cs="Times New Roman"/>
          <w:sz w:val="24"/>
          <w:szCs w:val="24"/>
        </w:rPr>
        <w:t xml:space="preserve">, 3.11, 518b24-25. </w:t>
      </w:r>
    </w:p>
    <w:p w14:paraId="2ED39808" w14:textId="77777777" w:rsidR="00430A23" w:rsidRPr="009F6B83" w:rsidRDefault="00430A23" w:rsidP="001933BC">
      <w:pPr>
        <w:pStyle w:val="EndnoteText"/>
        <w:rPr>
          <w:rFonts w:ascii="Times New Roman" w:hAnsi="Times New Roman" w:cs="Times New Roman"/>
          <w:sz w:val="24"/>
          <w:szCs w:val="24"/>
        </w:rPr>
      </w:pPr>
    </w:p>
    <w:p w14:paraId="1C8A6720" w14:textId="35F2632D" w:rsidR="001933BC" w:rsidRPr="009F6B83" w:rsidRDefault="001933BC" w:rsidP="001933BC">
      <w:pPr>
        <w:pStyle w:val="EndnoteText"/>
        <w:rPr>
          <w:rFonts w:ascii="Times New Roman" w:hAnsi="Times New Roman" w:cs="Times New Roman"/>
          <w:sz w:val="24"/>
          <w:szCs w:val="24"/>
        </w:rPr>
      </w:pPr>
      <w:r w:rsidRPr="009F6B83">
        <w:rPr>
          <w:rFonts w:ascii="Times New Roman" w:hAnsi="Times New Roman" w:cs="Times New Roman"/>
          <w:sz w:val="24"/>
          <w:szCs w:val="24"/>
        </w:rPr>
        <w:t xml:space="preserve">Cf. Augustine, </w:t>
      </w:r>
      <w:r w:rsidRPr="009F6B83">
        <w:rPr>
          <w:rFonts w:ascii="Times New Roman" w:hAnsi="Times New Roman" w:cs="Times New Roman"/>
          <w:i/>
          <w:iCs/>
          <w:sz w:val="24"/>
          <w:szCs w:val="24"/>
        </w:rPr>
        <w:t>Sermo</w:t>
      </w:r>
      <w:r w:rsidRPr="009F6B83">
        <w:rPr>
          <w:rFonts w:ascii="Times New Roman" w:hAnsi="Times New Roman" w:cs="Times New Roman"/>
          <w:sz w:val="24"/>
          <w:szCs w:val="24"/>
        </w:rPr>
        <w:t xml:space="preserve"> 4.28.31 (PL 38.48): Sunt mali in Ecclesia pertinentes ad Esau: quia et ipsi filii Rebeccae, filii matris Ecclesiae, de utero ipsius nati, et pilosi in peccatis carnalibus perseverantes, de illius tamen utero nati.</w:t>
      </w:r>
    </w:p>
    <w:p w14:paraId="4583B7FF" w14:textId="77777777" w:rsidR="001933BC" w:rsidRPr="009F6B83" w:rsidRDefault="001933BC" w:rsidP="001933BC">
      <w:pPr>
        <w:pStyle w:val="EndnoteText"/>
        <w:rPr>
          <w:rFonts w:ascii="Times New Roman" w:hAnsi="Times New Roman" w:cs="Times New Roman"/>
          <w:sz w:val="24"/>
          <w:szCs w:val="24"/>
        </w:rPr>
      </w:pPr>
    </w:p>
  </w:endnote>
  <w:endnote w:id="4">
    <w:p w14:paraId="50265039" w14:textId="079148CE" w:rsidR="001933BC" w:rsidRPr="009F6B83" w:rsidRDefault="001933BC">
      <w:pPr>
        <w:pStyle w:val="EndnoteText"/>
        <w:rPr>
          <w:rFonts w:ascii="Times New Roman" w:hAnsi="Times New Roman" w:cs="Times New Roman"/>
          <w:sz w:val="24"/>
          <w:szCs w:val="24"/>
        </w:rPr>
      </w:pPr>
      <w:r w:rsidRPr="009F6B83">
        <w:rPr>
          <w:rStyle w:val="EndnoteReference"/>
          <w:rFonts w:ascii="Times New Roman" w:hAnsi="Times New Roman" w:cs="Times New Roman"/>
          <w:sz w:val="24"/>
          <w:szCs w:val="24"/>
        </w:rPr>
        <w:endnoteRef/>
      </w:r>
      <w:r w:rsidRPr="009F6B83">
        <w:rPr>
          <w:rFonts w:ascii="Times New Roman" w:hAnsi="Times New Roman" w:cs="Times New Roman"/>
          <w:sz w:val="24"/>
          <w:szCs w:val="24"/>
        </w:rPr>
        <w:t xml:space="preserve"> Cf. Jerome, </w:t>
      </w:r>
      <w:r w:rsidRPr="009F6B83">
        <w:rPr>
          <w:rFonts w:ascii="Times New Roman" w:hAnsi="Times New Roman" w:cs="Times New Roman"/>
          <w:i/>
          <w:iCs/>
          <w:sz w:val="24"/>
          <w:szCs w:val="24"/>
        </w:rPr>
        <w:t>Epistola</w:t>
      </w:r>
      <w:r w:rsidRPr="009F6B83">
        <w:rPr>
          <w:rFonts w:ascii="Times New Roman" w:hAnsi="Times New Roman" w:cs="Times New Roman"/>
          <w:sz w:val="24"/>
          <w:szCs w:val="24"/>
        </w:rPr>
        <w:t xml:space="preserve"> 60.9 (PL 22:594): Referret, inquam, alius, quod in palatii militia, sub chlamyde et candenti lino, corpus ejus cilicio tritum sit: quod stans ante saeculi potestates, lurida jejuniis ora portaverit: quod adhuc sub alterius indumentis, alteri militaverit: et ad hoc habuerit cingulum, ut viduis, pupillis, oppressis, miserisque subveniret.</w:t>
      </w:r>
    </w:p>
    <w:p w14:paraId="6BA2C58C" w14:textId="5E818D55" w:rsidR="001933BC" w:rsidRPr="009F6B83" w:rsidRDefault="001933BC">
      <w:pPr>
        <w:pStyle w:val="EndnoteText"/>
        <w:rPr>
          <w:rFonts w:ascii="Times New Roman" w:hAnsi="Times New Roman" w:cs="Times New Roman"/>
          <w:sz w:val="24"/>
          <w:szCs w:val="24"/>
        </w:rPr>
      </w:pPr>
    </w:p>
    <w:p w14:paraId="2B17F14A" w14:textId="4CC7892C" w:rsidR="001933BC" w:rsidRPr="009F6B83" w:rsidRDefault="001933BC">
      <w:pPr>
        <w:pStyle w:val="EndnoteText"/>
        <w:rPr>
          <w:rFonts w:ascii="Times New Roman" w:hAnsi="Times New Roman" w:cs="Times New Roman"/>
          <w:sz w:val="24"/>
          <w:szCs w:val="24"/>
        </w:rPr>
      </w:pPr>
      <w:r w:rsidRPr="009F6B83">
        <w:rPr>
          <w:rFonts w:ascii="Times New Roman" w:hAnsi="Times New Roman" w:cs="Times New Roman"/>
          <w:sz w:val="24"/>
          <w:szCs w:val="24"/>
        </w:rPr>
        <w:t xml:space="preserve">Cf. </w:t>
      </w:r>
      <w:r w:rsidRPr="009F6B83">
        <w:rPr>
          <w:rFonts w:ascii="Times New Roman" w:hAnsi="Times New Roman" w:cs="Times New Roman"/>
          <w:i/>
          <w:iCs/>
          <w:sz w:val="24"/>
          <w:szCs w:val="24"/>
        </w:rPr>
        <w:t>Manipulus florum</w:t>
      </w:r>
      <w:r w:rsidRPr="009F6B83">
        <w:rPr>
          <w:rFonts w:ascii="Times New Roman" w:hAnsi="Times New Roman" w:cs="Times New Roman"/>
          <w:sz w:val="24"/>
          <w:szCs w:val="24"/>
        </w:rPr>
        <w:t>, Castitas et Continencie l: Quacumque virtute polleas, quibuscumque operibus niteas; si cingul castitatis careas, omnia per terram trahes.</w:t>
      </w:r>
    </w:p>
    <w:p w14:paraId="1DE628BD" w14:textId="780321A6" w:rsidR="001933BC" w:rsidRPr="009F6B83" w:rsidRDefault="004F4002">
      <w:pPr>
        <w:pStyle w:val="EndnoteText"/>
        <w:rPr>
          <w:rFonts w:ascii="Times New Roman" w:hAnsi="Times New Roman" w:cs="Times New Roman"/>
          <w:sz w:val="24"/>
          <w:szCs w:val="24"/>
        </w:rPr>
      </w:pPr>
      <w:hyperlink r:id="rId1" w:history="1">
        <w:r w:rsidR="001933BC" w:rsidRPr="009F6B83">
          <w:rPr>
            <w:rStyle w:val="Hyperlink"/>
            <w:rFonts w:ascii="Times New Roman" w:hAnsi="Times New Roman" w:cs="Times New Roman"/>
            <w:sz w:val="24"/>
            <w:szCs w:val="24"/>
          </w:rPr>
          <w:t>http://web.wlu.ca/history/cnighman/MFedition/Castitas/page2.html</w:t>
        </w:r>
      </w:hyperlink>
    </w:p>
    <w:p w14:paraId="6E1DE740" w14:textId="77777777" w:rsidR="001933BC" w:rsidRPr="009F6B83" w:rsidRDefault="001933BC">
      <w:pPr>
        <w:pStyle w:val="EndnoteText"/>
        <w:rPr>
          <w:rFonts w:ascii="Times New Roman" w:hAnsi="Times New Roman" w:cs="Times New Roman"/>
          <w:sz w:val="24"/>
          <w:szCs w:val="24"/>
        </w:rPr>
      </w:pPr>
    </w:p>
  </w:endnote>
  <w:endnote w:id="5">
    <w:p w14:paraId="2F7B7DE1" w14:textId="496B8158" w:rsidR="001933BC" w:rsidRPr="009F6B83" w:rsidRDefault="001933BC">
      <w:pPr>
        <w:pStyle w:val="EndnoteText"/>
        <w:rPr>
          <w:rFonts w:ascii="Times New Roman" w:hAnsi="Times New Roman" w:cs="Times New Roman"/>
          <w:sz w:val="24"/>
          <w:szCs w:val="24"/>
        </w:rPr>
      </w:pPr>
      <w:r w:rsidRPr="009F6B83">
        <w:rPr>
          <w:rStyle w:val="EndnoteReference"/>
          <w:rFonts w:ascii="Times New Roman" w:hAnsi="Times New Roman" w:cs="Times New Roman"/>
          <w:sz w:val="24"/>
          <w:szCs w:val="24"/>
        </w:rPr>
        <w:endnoteRef/>
      </w:r>
      <w:r w:rsidRPr="009F6B83">
        <w:rPr>
          <w:rFonts w:ascii="Times New Roman" w:hAnsi="Times New Roman" w:cs="Times New Roman"/>
          <w:sz w:val="24"/>
          <w:szCs w:val="24"/>
        </w:rPr>
        <w:t xml:space="preserve"> Gregory, </w:t>
      </w:r>
      <w:r w:rsidRPr="009F6B83">
        <w:rPr>
          <w:rFonts w:ascii="Times New Roman" w:hAnsi="Times New Roman" w:cs="Times New Roman"/>
          <w:i/>
          <w:iCs/>
          <w:sz w:val="24"/>
          <w:szCs w:val="24"/>
        </w:rPr>
        <w:t>Homiliae in Evangelia</w:t>
      </w:r>
      <w:r w:rsidRPr="009F6B83">
        <w:rPr>
          <w:rFonts w:ascii="Times New Roman" w:hAnsi="Times New Roman" w:cs="Times New Roman"/>
          <w:sz w:val="24"/>
          <w:szCs w:val="24"/>
        </w:rPr>
        <w:t xml:space="preserve"> 22.9 (PL 76.1181): Tenentes baculos in manibus (Exod. 12:11). Quid lex per baculum nisi pastoralem custodiam designat? Et notandum quod prius praecipimur renes accingere, postmodum baculos tenere, quia illi debent curam pastoralem suscipere, qui jam in suo corpore sciunt fluxa luxuriae edomare, ut cum aliis fortia praedicant, ipsi desideriis mollibus enerviter non succumbant.</w:t>
      </w:r>
    </w:p>
    <w:p w14:paraId="3C4DED67" w14:textId="77777777" w:rsidR="009F6B83" w:rsidRPr="009F6B83" w:rsidRDefault="009F6B83">
      <w:pPr>
        <w:pStyle w:val="EndnoteText"/>
        <w:rPr>
          <w:rFonts w:ascii="Times New Roman" w:hAnsi="Times New Roman" w:cs="Times New Roman"/>
          <w:sz w:val="24"/>
          <w:szCs w:val="24"/>
        </w:rPr>
      </w:pPr>
    </w:p>
  </w:endnote>
  <w:endnote w:id="6">
    <w:p w14:paraId="4BA309DD" w14:textId="558C8313" w:rsidR="003753E7" w:rsidRPr="009F6B83" w:rsidRDefault="003753E7">
      <w:pPr>
        <w:pStyle w:val="EndnoteText"/>
        <w:rPr>
          <w:rFonts w:ascii="Times New Roman" w:hAnsi="Times New Roman" w:cs="Times New Roman"/>
          <w:sz w:val="24"/>
          <w:szCs w:val="24"/>
        </w:rPr>
      </w:pPr>
      <w:r w:rsidRPr="009F6B83">
        <w:rPr>
          <w:rStyle w:val="EndnoteReference"/>
          <w:rFonts w:ascii="Times New Roman" w:hAnsi="Times New Roman" w:cs="Times New Roman"/>
          <w:sz w:val="24"/>
          <w:szCs w:val="24"/>
        </w:rPr>
        <w:endnoteRef/>
      </w:r>
      <w:r w:rsidRPr="009F6B83">
        <w:rPr>
          <w:rFonts w:ascii="Times New Roman" w:hAnsi="Times New Roman" w:cs="Times New Roman"/>
          <w:sz w:val="24"/>
          <w:szCs w:val="24"/>
        </w:rPr>
        <w:t xml:space="preserve"> </w:t>
      </w:r>
      <w:r w:rsidR="009F6B83" w:rsidRPr="009F6B83">
        <w:rPr>
          <w:rFonts w:ascii="Times New Roman" w:hAnsi="Times New Roman" w:cs="Times New Roman"/>
          <w:sz w:val="24"/>
          <w:szCs w:val="24"/>
        </w:rPr>
        <w:t xml:space="preserve">Cf. </w:t>
      </w:r>
      <w:r w:rsidR="009F6B83" w:rsidRPr="009F6B83">
        <w:rPr>
          <w:rFonts w:ascii="Times New Roman" w:hAnsi="Times New Roman" w:cs="Times New Roman"/>
          <w:i/>
          <w:iCs/>
          <w:sz w:val="24"/>
          <w:szCs w:val="24"/>
        </w:rPr>
        <w:t>Vita B. Aelredi</w:t>
      </w:r>
      <w:r w:rsidR="009F6B83" w:rsidRPr="009F6B83">
        <w:rPr>
          <w:rFonts w:ascii="Times New Roman" w:hAnsi="Times New Roman" w:cs="Times New Roman"/>
          <w:sz w:val="24"/>
          <w:szCs w:val="24"/>
        </w:rPr>
        <w:t xml:space="preserve"> 3.22 (PL 195:204): Sed oblitus infirmitatis, et charitatis memor, praecepit illis abbas, dicens: «Nolite, quaeso, nolite, filii, Patrem vestrum tunica patientiae spoliare. Non sum commotus, non sum laesus.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7424B" w14:textId="77777777" w:rsidR="00D67A0C" w:rsidRDefault="00D67A0C" w:rsidP="00DF2020">
      <w:pPr>
        <w:spacing w:after="0" w:line="240" w:lineRule="auto"/>
      </w:pPr>
      <w:r>
        <w:separator/>
      </w:r>
    </w:p>
  </w:footnote>
  <w:footnote w:type="continuationSeparator" w:id="0">
    <w:p w14:paraId="202C2688" w14:textId="77777777" w:rsidR="00D67A0C" w:rsidRDefault="00D67A0C" w:rsidP="00DF20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efaultTabStop w:val="720"/>
  <w:characterSpacingControl w:val="doNotCompress"/>
  <w:savePreviewPicture/>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EB7"/>
    <w:rsid w:val="00021A4D"/>
    <w:rsid w:val="00042914"/>
    <w:rsid w:val="00094926"/>
    <w:rsid w:val="000E70A1"/>
    <w:rsid w:val="000F0382"/>
    <w:rsid w:val="001933BC"/>
    <w:rsid w:val="001E7BC5"/>
    <w:rsid w:val="002E3368"/>
    <w:rsid w:val="00373E1D"/>
    <w:rsid w:val="003753E7"/>
    <w:rsid w:val="003A11F3"/>
    <w:rsid w:val="003E7B27"/>
    <w:rsid w:val="004113B6"/>
    <w:rsid w:val="00430A23"/>
    <w:rsid w:val="004618D7"/>
    <w:rsid w:val="004C13FA"/>
    <w:rsid w:val="004F4002"/>
    <w:rsid w:val="005341A6"/>
    <w:rsid w:val="005749AF"/>
    <w:rsid w:val="00763E34"/>
    <w:rsid w:val="007C43CC"/>
    <w:rsid w:val="007E4784"/>
    <w:rsid w:val="007F29CF"/>
    <w:rsid w:val="00846EB7"/>
    <w:rsid w:val="00932548"/>
    <w:rsid w:val="009F6B83"/>
    <w:rsid w:val="00A14FBE"/>
    <w:rsid w:val="00A76A92"/>
    <w:rsid w:val="00B217DB"/>
    <w:rsid w:val="00B55A2F"/>
    <w:rsid w:val="00B93CF5"/>
    <w:rsid w:val="00CB4C03"/>
    <w:rsid w:val="00D20259"/>
    <w:rsid w:val="00D47D99"/>
    <w:rsid w:val="00D67A0C"/>
    <w:rsid w:val="00DF2020"/>
    <w:rsid w:val="00E25D39"/>
    <w:rsid w:val="00F05089"/>
    <w:rsid w:val="00F61B95"/>
    <w:rsid w:val="00FD5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E98D6C"/>
  <w15:docId w15:val="{EF4B4C9B-8C8B-4E1C-8D5F-7CA0A529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55A2F"/>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F0382"/>
    <w:rPr>
      <w:rFonts w:ascii="Tahoma" w:hAnsi="Tahoma" w:cs="Tahoma"/>
      <w:sz w:val="16"/>
      <w:szCs w:val="16"/>
    </w:rPr>
  </w:style>
  <w:style w:type="character" w:customStyle="1" w:styleId="BalloonTextChar">
    <w:name w:val="Balloon Text Char"/>
    <w:basedOn w:val="DefaultParagraphFont"/>
    <w:link w:val="BalloonText"/>
    <w:uiPriority w:val="99"/>
    <w:semiHidden/>
    <w:rsid w:val="00746515"/>
    <w:rPr>
      <w:rFonts w:ascii="Times New Roman" w:hAnsi="Times New Roman"/>
      <w:sz w:val="0"/>
      <w:szCs w:val="0"/>
    </w:rPr>
  </w:style>
  <w:style w:type="paragraph" w:styleId="EndnoteText">
    <w:name w:val="endnote text"/>
    <w:basedOn w:val="Normal"/>
    <w:link w:val="EndnoteTextChar"/>
    <w:uiPriority w:val="99"/>
    <w:semiHidden/>
    <w:unhideWhenUsed/>
    <w:rsid w:val="00DF20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2020"/>
    <w:rPr>
      <w:rFonts w:cs="Calibri"/>
      <w:sz w:val="20"/>
      <w:szCs w:val="20"/>
    </w:rPr>
  </w:style>
  <w:style w:type="character" w:styleId="EndnoteReference">
    <w:name w:val="endnote reference"/>
    <w:basedOn w:val="DefaultParagraphFont"/>
    <w:uiPriority w:val="99"/>
    <w:semiHidden/>
    <w:unhideWhenUsed/>
    <w:rsid w:val="00DF2020"/>
    <w:rPr>
      <w:vertAlign w:val="superscript"/>
    </w:rPr>
  </w:style>
  <w:style w:type="character" w:styleId="Hyperlink">
    <w:name w:val="Hyperlink"/>
    <w:basedOn w:val="DefaultParagraphFont"/>
    <w:uiPriority w:val="99"/>
    <w:unhideWhenUsed/>
    <w:rsid w:val="001933BC"/>
    <w:rPr>
      <w:color w:val="0000FF" w:themeColor="hyperlink"/>
      <w:u w:val="single"/>
    </w:rPr>
  </w:style>
  <w:style w:type="character" w:styleId="UnresolvedMention">
    <w:name w:val="Unresolved Mention"/>
    <w:basedOn w:val="DefaultParagraphFont"/>
    <w:uiPriority w:val="99"/>
    <w:semiHidden/>
    <w:unhideWhenUsed/>
    <w:rsid w:val="00193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web.wlu.ca/history/cnighman/MFedition/Castitas/page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EB7B4AE-C013-4941-972B-64486A2BD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684</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[6] To gird up (Accingere)</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To gird up (Accingere)</dc:title>
  <dc:subject/>
  <dc:creator>Eugene Crook</dc:creator>
  <cp:keywords/>
  <dc:description/>
  <cp:lastModifiedBy>Eugene Crook</cp:lastModifiedBy>
  <cp:revision>5</cp:revision>
  <cp:lastPrinted>2018-12-16T03:50:00Z</cp:lastPrinted>
  <dcterms:created xsi:type="dcterms:W3CDTF">2020-06-20T22:46:00Z</dcterms:created>
  <dcterms:modified xsi:type="dcterms:W3CDTF">2020-06-21T18:40:00Z</dcterms:modified>
</cp:coreProperties>
</file>