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9615" w14:textId="77777777" w:rsidR="004E4885" w:rsidRDefault="0026633F" w:rsidP="00277757">
      <w:pPr>
        <w:spacing w:line="480" w:lineRule="auto"/>
        <w:rPr>
          <w:rFonts w:ascii="Courier New" w:hAnsi="Courier New" w:cs="Courier New"/>
          <w:sz w:val="24"/>
          <w:szCs w:val="24"/>
        </w:rPr>
      </w:pPr>
      <w:r>
        <w:rPr>
          <w:rFonts w:ascii="Courier New" w:hAnsi="Courier New" w:cs="Courier New"/>
          <w:sz w:val="24"/>
          <w:szCs w:val="24"/>
        </w:rPr>
        <w:t>44</w:t>
      </w:r>
      <w:r w:rsidR="004E4885" w:rsidRPr="00562113">
        <w:rPr>
          <w:rFonts w:ascii="Courier New" w:hAnsi="Courier New" w:cs="Courier New"/>
          <w:sz w:val="24"/>
          <w:szCs w:val="24"/>
        </w:rPr>
        <w:t xml:space="preserve"> Bonus homo</w:t>
      </w:r>
      <w:r w:rsidR="004E4885">
        <w:rPr>
          <w:rFonts w:ascii="Courier New" w:hAnsi="Courier New" w:cs="Courier New"/>
          <w:sz w:val="24"/>
          <w:szCs w:val="24"/>
        </w:rPr>
        <w:t xml:space="preserve"> </w:t>
      </w:r>
    </w:p>
    <w:p w14:paraId="18AA7386" w14:textId="3E48F071" w:rsidR="004E4885" w:rsidRDefault="004E4885" w:rsidP="00277757">
      <w:pPr>
        <w:spacing w:line="480" w:lineRule="auto"/>
        <w:rPr>
          <w:rFonts w:ascii="Courier New" w:hAnsi="Courier New" w:cs="Courier New"/>
          <w:sz w:val="24"/>
          <w:szCs w:val="24"/>
        </w:rPr>
      </w:pPr>
      <w:r>
        <w:rPr>
          <w:rFonts w:ascii="Courier New" w:hAnsi="Courier New" w:cs="Courier New"/>
          <w:sz w:val="24"/>
          <w:szCs w:val="24"/>
        </w:rPr>
        <w:t xml:space="preserve">Seneca, </w:t>
      </w:r>
      <w:bookmarkStart w:id="0" w:name="_Hlk534142963"/>
      <w:r>
        <w:rPr>
          <w:rFonts w:ascii="Courier New" w:hAnsi="Courier New" w:cs="Courier New"/>
          <w:i/>
          <w:iCs/>
          <w:sz w:val="24"/>
          <w:szCs w:val="24"/>
        </w:rPr>
        <w:t xml:space="preserve">Ad Lucilium Epistula </w:t>
      </w:r>
      <w:r w:rsidR="00DF6009">
        <w:rPr>
          <w:rFonts w:ascii="Courier New" w:hAnsi="Courier New" w:cs="Courier New"/>
          <w:sz w:val="24"/>
          <w:szCs w:val="24"/>
        </w:rPr>
        <w:t>118</w:t>
      </w:r>
      <w:bookmarkEnd w:id="0"/>
      <w:r w:rsidR="00DF6009">
        <w:rPr>
          <w:rFonts w:ascii="Courier New" w:hAnsi="Courier New" w:cs="Courier New"/>
          <w:sz w:val="24"/>
          <w:szCs w:val="24"/>
        </w:rPr>
        <w:t>,</w:t>
      </w:r>
      <w:r>
        <w:rPr>
          <w:rFonts w:ascii="Courier New" w:hAnsi="Courier New" w:cs="Courier New"/>
          <w:sz w:val="24"/>
          <w:szCs w:val="24"/>
        </w:rPr>
        <w:t xml:space="preserve"> </w:t>
      </w:r>
      <w:r w:rsidR="00DF6009">
        <w:rPr>
          <w:rFonts w:ascii="Courier New" w:hAnsi="Courier New" w:cs="Courier New"/>
          <w:sz w:val="24"/>
          <w:szCs w:val="24"/>
        </w:rPr>
        <w:t>q</w:t>
      </w:r>
      <w:r>
        <w:rPr>
          <w:rFonts w:ascii="Courier New" w:hAnsi="Courier New" w:cs="Courier New"/>
          <w:sz w:val="24"/>
          <w:szCs w:val="24"/>
        </w:rPr>
        <w:t xml:space="preserve">uicquid potest facere hominem bonum tecum est. Et sicut quis uult iudicare bonum equum, non iudicat secundum apparenciam, secundum illud quod in se habet. Sic debet iudicari de homine. Vnde Tullius, 3, </w:t>
      </w:r>
      <w:r>
        <w:rPr>
          <w:rFonts w:ascii="Courier New" w:hAnsi="Courier New" w:cs="Courier New"/>
          <w:i/>
          <w:iCs/>
          <w:sz w:val="24"/>
          <w:szCs w:val="24"/>
        </w:rPr>
        <w:t>De officiis</w:t>
      </w:r>
      <w:r w:rsidR="00DF6009">
        <w:rPr>
          <w:rFonts w:ascii="Courier New" w:hAnsi="Courier New" w:cs="Courier New"/>
          <w:iCs/>
          <w:sz w:val="24"/>
          <w:szCs w:val="24"/>
        </w:rPr>
        <w:t>,</w:t>
      </w:r>
      <w:r>
        <w:rPr>
          <w:rFonts w:ascii="Courier New" w:hAnsi="Courier New" w:cs="Courier New"/>
          <w:sz w:val="24"/>
          <w:szCs w:val="24"/>
        </w:rPr>
        <w:t xml:space="preserve"> ille est bonus qui prodest et nemini nocet, nisi lascessitur iniuriis. Vnde Augustinus, 4, </w:t>
      </w:r>
      <w:r w:rsidRPr="00553BFD">
        <w:rPr>
          <w:rFonts w:ascii="Courier New" w:hAnsi="Courier New" w:cs="Courier New"/>
          <w:i/>
          <w:iCs/>
          <w:sz w:val="24"/>
          <w:szCs w:val="24"/>
        </w:rPr>
        <w:t>De ciuitate</w:t>
      </w:r>
      <w:r w:rsidR="00DF6009">
        <w:rPr>
          <w:rFonts w:ascii="Courier New" w:hAnsi="Courier New" w:cs="Courier New"/>
          <w:iCs/>
          <w:sz w:val="24"/>
          <w:szCs w:val="24"/>
        </w:rPr>
        <w:t>,</w:t>
      </w:r>
      <w:r>
        <w:rPr>
          <w:rFonts w:ascii="Courier New" w:hAnsi="Courier New" w:cs="Courier New"/>
          <w:sz w:val="24"/>
          <w:szCs w:val="24"/>
        </w:rPr>
        <w:t xml:space="preserve"> eciam si sibi seruiat, liber est; malus autem et regnet, seruus est; et tot dominorum seruus, quot viciorum. Vnde dicit Aristoteles, in secundo, </w:t>
      </w:r>
      <w:r>
        <w:rPr>
          <w:rFonts w:ascii="Courier New" w:hAnsi="Courier New" w:cs="Courier New"/>
          <w:i/>
          <w:iCs/>
          <w:sz w:val="24"/>
          <w:szCs w:val="24"/>
        </w:rPr>
        <w:t>Rethorica,</w:t>
      </w:r>
      <w:r>
        <w:rPr>
          <w:rFonts w:ascii="Courier New" w:hAnsi="Courier New" w:cs="Courier New"/>
          <w:sz w:val="24"/>
          <w:szCs w:val="24"/>
        </w:rPr>
        <w:t xml:space="preserve"> quod &lt;unus&gt; [iuuenes] sunt miseranti quia omnes reputant bonos propter suam innocenciam. Set senes sunt dubii et suspiciosi, uel propter mala propria uel propter experienciam de malis aliorum. </w:t>
      </w:r>
    </w:p>
    <w:p w14:paraId="5E1E9F6A" w14:textId="7EE68AC8" w:rsidR="004E4885" w:rsidRPr="001E2FC2" w:rsidRDefault="004E4885" w:rsidP="0066641A">
      <w:pPr>
        <w:spacing w:line="480" w:lineRule="auto"/>
        <w:ind w:firstLine="720"/>
        <w:rPr>
          <w:rFonts w:ascii="Courier New" w:hAnsi="Courier New" w:cs="Courier New"/>
          <w:sz w:val="24"/>
          <w:szCs w:val="24"/>
        </w:rPr>
      </w:pPr>
      <w:r>
        <w:rPr>
          <w:rFonts w:ascii="Courier New" w:hAnsi="Courier New" w:cs="Courier New"/>
          <w:sz w:val="24"/>
          <w:szCs w:val="24"/>
        </w:rPr>
        <w:t xml:space="preserve">¶ Ad hoc dicit Seneca, non dubium ipsum male viuere qui de aliis non bene suspicatur. Et Chrisostomus, </w:t>
      </w:r>
      <w:bookmarkStart w:id="1" w:name="_Hlk534143757"/>
      <w:r w:rsidRPr="0027692B">
        <w:rPr>
          <w:rFonts w:ascii="Courier New" w:hAnsi="Courier New" w:cs="Courier New"/>
          <w:i/>
          <w:iCs/>
          <w:sz w:val="24"/>
          <w:szCs w:val="24"/>
        </w:rPr>
        <w:t>Homelia</w:t>
      </w:r>
      <w:r>
        <w:rPr>
          <w:rFonts w:ascii="Courier New" w:hAnsi="Courier New" w:cs="Courier New"/>
          <w:i/>
          <w:iCs/>
          <w:sz w:val="24"/>
          <w:szCs w:val="24"/>
        </w:rPr>
        <w:t>,</w:t>
      </w:r>
      <w:r>
        <w:rPr>
          <w:rFonts w:ascii="Courier New" w:hAnsi="Courier New" w:cs="Courier New"/>
          <w:sz w:val="24"/>
          <w:szCs w:val="24"/>
        </w:rPr>
        <w:t xml:space="preserve"> 55</w:t>
      </w:r>
      <w:bookmarkEnd w:id="1"/>
      <w:r>
        <w:rPr>
          <w:rFonts w:ascii="Courier New" w:hAnsi="Courier New" w:cs="Courier New"/>
          <w:sz w:val="24"/>
          <w:szCs w:val="24"/>
        </w:rPr>
        <w:t xml:space="preserve">, homo Dei, quamuis fuerit bonus, semper tamen habet aliud mali in se secundum carnem, quasi homo qui, autem, Deum non cognoscit nichil eciam se boni potest habere propterea malus homo non dicitur lupus, quia lupus, set quia nil boni habet in se. Vnde, dicit Chrisostomus, </w:t>
      </w:r>
      <w:r>
        <w:rPr>
          <w:rFonts w:ascii="Courier New" w:hAnsi="Courier New" w:cs="Courier New"/>
          <w:i/>
          <w:iCs/>
          <w:sz w:val="24"/>
          <w:szCs w:val="24"/>
        </w:rPr>
        <w:t>H</w:t>
      </w:r>
      <w:r w:rsidRPr="0027692B">
        <w:rPr>
          <w:rFonts w:ascii="Courier New" w:hAnsi="Courier New" w:cs="Courier New"/>
          <w:i/>
          <w:iCs/>
          <w:sz w:val="24"/>
          <w:szCs w:val="24"/>
        </w:rPr>
        <w:t>omelia</w:t>
      </w:r>
      <w:r>
        <w:rPr>
          <w:rFonts w:ascii="Courier New" w:hAnsi="Courier New" w:cs="Courier New"/>
          <w:i/>
          <w:iCs/>
          <w:sz w:val="24"/>
          <w:szCs w:val="24"/>
        </w:rPr>
        <w:t>,</w:t>
      </w:r>
      <w:r>
        <w:rPr>
          <w:rFonts w:ascii="Courier New" w:hAnsi="Courier New" w:cs="Courier New"/>
          <w:sz w:val="24"/>
          <w:szCs w:val="24"/>
        </w:rPr>
        <w:t xml:space="preserve"> prima,</w:t>
      </w:r>
      <w:bookmarkStart w:id="2" w:name="_GoBack"/>
      <w:bookmarkEnd w:id="2"/>
      <w:r>
        <w:rPr>
          <w:rFonts w:ascii="Courier New" w:hAnsi="Courier New" w:cs="Courier New"/>
          <w:sz w:val="24"/>
          <w:szCs w:val="24"/>
        </w:rPr>
        <w:t xml:space="preserve"> quod boni homines vtiles sunt tot mundo, et medulla in arbore est sana est et floret. Sic quamdiu sunt fideles, stat mundus, sicut egredientibus </w:t>
      </w:r>
      <w:r>
        <w:rPr>
          <w:rFonts w:ascii="Courier New" w:hAnsi="Courier New" w:cs="Courier New"/>
          <w:sz w:val="24"/>
          <w:szCs w:val="24"/>
        </w:rPr>
        <w:lastRenderedPageBreak/>
        <w:t>Israelitis de Egipto exterminabatur. Sic in mundo cum recte serint, boni cadent.</w:t>
      </w:r>
    </w:p>
    <w:sectPr w:rsidR="004E4885" w:rsidRPr="001E2FC2" w:rsidSect="004F5F6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A08D" w14:textId="77777777" w:rsidR="00A44849" w:rsidRDefault="00A44849" w:rsidP="00277757">
      <w:pPr>
        <w:spacing w:after="0" w:line="240" w:lineRule="auto"/>
      </w:pPr>
      <w:r>
        <w:separator/>
      </w:r>
    </w:p>
  </w:endnote>
  <w:endnote w:type="continuationSeparator" w:id="0">
    <w:p w14:paraId="43CF2EC7" w14:textId="77777777" w:rsidR="00A44849" w:rsidRDefault="00A44849" w:rsidP="0027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477B" w14:textId="77777777" w:rsidR="00A44849" w:rsidRDefault="00A44849" w:rsidP="00277757">
      <w:pPr>
        <w:spacing w:after="0" w:line="240" w:lineRule="auto"/>
      </w:pPr>
      <w:r>
        <w:separator/>
      </w:r>
    </w:p>
  </w:footnote>
  <w:footnote w:type="continuationSeparator" w:id="0">
    <w:p w14:paraId="560E8A2D" w14:textId="77777777" w:rsidR="00A44849" w:rsidRDefault="00A44849" w:rsidP="00277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BF6"/>
    <w:rsid w:val="00021D3C"/>
    <w:rsid w:val="000772BF"/>
    <w:rsid w:val="0008078E"/>
    <w:rsid w:val="001605A2"/>
    <w:rsid w:val="001E2FC2"/>
    <w:rsid w:val="00201C53"/>
    <w:rsid w:val="00224522"/>
    <w:rsid w:val="0026633F"/>
    <w:rsid w:val="0027692B"/>
    <w:rsid w:val="00277757"/>
    <w:rsid w:val="002E76E0"/>
    <w:rsid w:val="00344F54"/>
    <w:rsid w:val="003511F7"/>
    <w:rsid w:val="00376891"/>
    <w:rsid w:val="004E4885"/>
    <w:rsid w:val="004F5F62"/>
    <w:rsid w:val="00553BFD"/>
    <w:rsid w:val="00562113"/>
    <w:rsid w:val="00572F2E"/>
    <w:rsid w:val="006019CD"/>
    <w:rsid w:val="0066641A"/>
    <w:rsid w:val="006D5092"/>
    <w:rsid w:val="00724117"/>
    <w:rsid w:val="008A6489"/>
    <w:rsid w:val="008B75F6"/>
    <w:rsid w:val="008C666F"/>
    <w:rsid w:val="008E5120"/>
    <w:rsid w:val="0094461A"/>
    <w:rsid w:val="00980260"/>
    <w:rsid w:val="00A44849"/>
    <w:rsid w:val="00BE120C"/>
    <w:rsid w:val="00C43A1F"/>
    <w:rsid w:val="00C9085E"/>
    <w:rsid w:val="00CA4C87"/>
    <w:rsid w:val="00D16048"/>
    <w:rsid w:val="00DF6009"/>
    <w:rsid w:val="00E1660A"/>
    <w:rsid w:val="00E202A3"/>
    <w:rsid w:val="00ED2BF6"/>
    <w:rsid w:val="00F74142"/>
    <w:rsid w:val="00FC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E1FBE"/>
  <w15:docId w15:val="{0139E632-9362-46D5-A3EC-849EAE1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5F6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77757"/>
    <w:pPr>
      <w:spacing w:after="0" w:line="240" w:lineRule="auto"/>
    </w:pPr>
    <w:rPr>
      <w:sz w:val="20"/>
      <w:szCs w:val="20"/>
    </w:rPr>
  </w:style>
  <w:style w:type="character" w:customStyle="1" w:styleId="EndnoteTextChar">
    <w:name w:val="Endnote Text Char"/>
    <w:link w:val="EndnoteText"/>
    <w:uiPriority w:val="99"/>
    <w:semiHidden/>
    <w:rsid w:val="00277757"/>
    <w:rPr>
      <w:sz w:val="20"/>
      <w:szCs w:val="20"/>
    </w:rPr>
  </w:style>
  <w:style w:type="character" w:styleId="EndnoteReference">
    <w:name w:val="endnote reference"/>
    <w:uiPriority w:val="99"/>
    <w:semiHidden/>
    <w:rsid w:val="00277757"/>
    <w:rPr>
      <w:vertAlign w:val="superscript"/>
    </w:rPr>
  </w:style>
  <w:style w:type="character" w:customStyle="1" w:styleId="ft">
    <w:name w:val="ft"/>
    <w:uiPriority w:val="99"/>
    <w:rsid w:val="008E5120"/>
    <w:rPr>
      <w:color w:val="22222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[44] Bonus homo, Seneca, Ad Lucilium Epistula 118: Quicquid potest fa-</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 Bonus homo, Seneca, Ad Lucilium Epistula 118: Quicquid potest fa-</dc:title>
  <dc:subject/>
  <dc:creator>Eugene Crook</dc:creator>
  <cp:keywords/>
  <dc:description/>
  <cp:lastModifiedBy>Eugene Crook</cp:lastModifiedBy>
  <cp:revision>3</cp:revision>
  <dcterms:created xsi:type="dcterms:W3CDTF">2020-07-15T21:13:00Z</dcterms:created>
  <dcterms:modified xsi:type="dcterms:W3CDTF">2020-07-15T21:18:00Z</dcterms:modified>
</cp:coreProperties>
</file>