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36C6C" w14:textId="77777777" w:rsidR="0008171E" w:rsidRPr="00503F7E" w:rsidRDefault="0008171E" w:rsidP="000817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3F7E"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Ymago</w:t>
      </w:r>
      <w:proofErr w:type="spellEnd"/>
    </w:p>
    <w:p w14:paraId="12AACEFE" w14:textId="389ED135" w:rsidR="00F2518C" w:rsidRPr="00503F7E" w:rsidRDefault="0008171E" w:rsidP="000817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3F7E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Aristotele</w:t>
      </w:r>
      <w:r w:rsidR="001B26C4" w:rsidRPr="00503F7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Pr="00503F7E">
        <w:rPr>
          <w:rFonts w:ascii="Times New Roman" w:hAnsi="Times New Roman" w:cs="Times New Roman"/>
          <w:i/>
          <w:iCs/>
          <w:sz w:val="24"/>
          <w:szCs w:val="24"/>
        </w:rPr>
        <w:t>Topicis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ymago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generata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imitacionem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est. Quomodo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tenetur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imitatio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conseruacionem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ymaginis</w:t>
      </w:r>
      <w:proofErr w:type="spellEnd"/>
      <w:r w:rsidR="007F515F" w:rsidRPr="00503F7E">
        <w:rPr>
          <w:rFonts w:ascii="Times New Roman" w:hAnsi="Times New Roman" w:cs="Times New Roman"/>
          <w:sz w:val="24"/>
          <w:szCs w:val="24"/>
        </w:rPr>
        <w:t>,</w:t>
      </w:r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A</w:t>
      </w:r>
      <w:r w:rsidR="00DE2816" w:rsidRPr="00503F7E">
        <w:rPr>
          <w:rFonts w:ascii="Times New Roman" w:hAnsi="Times New Roman" w:cs="Times New Roman"/>
          <w:sz w:val="24"/>
          <w:szCs w:val="24"/>
        </w:rPr>
        <w:t>nselmus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3F7E">
        <w:rPr>
          <w:rFonts w:ascii="Times New Roman" w:hAnsi="Times New Roman" w:cs="Times New Roman"/>
          <w:sz w:val="24"/>
          <w:szCs w:val="24"/>
        </w:rPr>
        <w:t>suis</w:t>
      </w:r>
      <w:proofErr w:type="spellEnd"/>
      <w:r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B44" w:rsidRPr="00503F7E">
        <w:rPr>
          <w:rFonts w:ascii="Times New Roman" w:hAnsi="Times New Roman" w:cs="Times New Roman"/>
          <w:i/>
          <w:iCs/>
          <w:sz w:val="24"/>
          <w:szCs w:val="24"/>
        </w:rPr>
        <w:t>Medit</w:t>
      </w:r>
      <w:r w:rsidR="00E67868" w:rsidRPr="00503F7E">
        <w:rPr>
          <w:rFonts w:ascii="Times New Roman" w:hAnsi="Times New Roman" w:cs="Times New Roman"/>
          <w:i/>
          <w:iCs/>
          <w:sz w:val="24"/>
          <w:szCs w:val="24"/>
        </w:rPr>
        <w:t>ationibus</w:t>
      </w:r>
      <w:proofErr w:type="spellEnd"/>
      <w:r w:rsidR="00E67868" w:rsidRPr="00503F7E">
        <w:rPr>
          <w:rFonts w:ascii="Times New Roman" w:hAnsi="Times New Roman" w:cs="Times New Roman"/>
          <w:sz w:val="24"/>
          <w:szCs w:val="24"/>
        </w:rPr>
        <w:t>,</w:t>
      </w:r>
      <w:r w:rsidR="002F4B44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B44" w:rsidRPr="00503F7E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6C74CC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2F4B44" w:rsidRPr="00503F7E">
        <w:rPr>
          <w:rFonts w:ascii="Times New Roman" w:hAnsi="Times New Roman" w:cs="Times New Roman"/>
          <w:sz w:val="24"/>
          <w:szCs w:val="24"/>
        </w:rPr>
        <w:t>quo</w:t>
      </w:r>
      <w:r w:rsidR="006C74CC" w:rsidRPr="00503F7E">
        <w:rPr>
          <w:rFonts w:ascii="Times New Roman" w:hAnsi="Times New Roman" w:cs="Times New Roman"/>
          <w:sz w:val="24"/>
          <w:szCs w:val="24"/>
        </w:rPr>
        <w:t>modo</w:t>
      </w:r>
      <w:r w:rsidR="002F4B44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B44" w:rsidRPr="00503F7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F4B44" w:rsidRPr="00503F7E">
        <w:rPr>
          <w:rFonts w:ascii="Times New Roman" w:hAnsi="Times New Roman" w:cs="Times New Roman"/>
          <w:sz w:val="24"/>
          <w:szCs w:val="24"/>
        </w:rPr>
        <w:t xml:space="preserve"> homo ad </w:t>
      </w:r>
      <w:proofErr w:type="spellStart"/>
      <w:r w:rsidR="002F4B44" w:rsidRPr="00503F7E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2F4B44" w:rsidRPr="00503F7E">
        <w:rPr>
          <w:rFonts w:ascii="Times New Roman" w:hAnsi="Times New Roman" w:cs="Times New Roman"/>
          <w:sz w:val="24"/>
          <w:szCs w:val="24"/>
        </w:rPr>
        <w:t xml:space="preserve"> Dei</w:t>
      </w:r>
      <w:r w:rsidR="007F515F" w:rsidRPr="00503F7E">
        <w:rPr>
          <w:rFonts w:ascii="Times New Roman" w:hAnsi="Times New Roman" w:cs="Times New Roman"/>
          <w:sz w:val="24"/>
          <w:szCs w:val="24"/>
        </w:rPr>
        <w:t>.</w:t>
      </w:r>
      <w:r w:rsidR="002F4B44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4CC" w:rsidRPr="00503F7E">
        <w:rPr>
          <w:rFonts w:ascii="Times New Roman" w:hAnsi="Times New Roman" w:cs="Times New Roman"/>
          <w:sz w:val="24"/>
          <w:szCs w:val="24"/>
        </w:rPr>
        <w:t>A</w:t>
      </w:r>
      <w:r w:rsidR="00E03BF2" w:rsidRPr="00503F7E">
        <w:rPr>
          <w:rFonts w:ascii="Times New Roman" w:hAnsi="Times New Roman" w:cs="Times New Roman"/>
          <w:sz w:val="24"/>
          <w:szCs w:val="24"/>
        </w:rPr>
        <w:t>ttend</w:t>
      </w:r>
      <w:r w:rsidR="00DE2816" w:rsidRPr="00503F7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74CC" w:rsidRPr="00503F7E">
        <w:rPr>
          <w:rFonts w:ascii="Times New Roman" w:hAnsi="Times New Roman" w:cs="Times New Roman"/>
          <w:sz w:val="24"/>
          <w:szCs w:val="24"/>
        </w:rPr>
        <w:t>.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Deus semper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meminit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sui</w:t>
      </w:r>
      <w:r w:rsidR="006C74CC" w:rsidRPr="00503F7E">
        <w:rPr>
          <w:rFonts w:ascii="Times New Roman" w:hAnsi="Times New Roman" w:cs="Times New Roman"/>
          <w:sz w:val="24"/>
          <w:szCs w:val="24"/>
        </w:rPr>
        <w:t>,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inte</w:t>
      </w:r>
      <w:r w:rsidR="006C74CC" w:rsidRPr="00503F7E">
        <w:rPr>
          <w:rFonts w:ascii="Times New Roman" w:hAnsi="Times New Roman" w:cs="Times New Roman"/>
          <w:sz w:val="24"/>
          <w:szCs w:val="24"/>
        </w:rPr>
        <w:t>lli</w:t>
      </w:r>
      <w:r w:rsidR="00E03BF2" w:rsidRPr="00503F7E">
        <w:rPr>
          <w:rFonts w:ascii="Times New Roman" w:hAnsi="Times New Roman" w:cs="Times New Roman"/>
          <w:sz w:val="24"/>
          <w:szCs w:val="24"/>
        </w:rPr>
        <w:t>git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se</w:t>
      </w:r>
      <w:r w:rsidR="006C74CC" w:rsidRPr="00503F7E">
        <w:rPr>
          <w:rFonts w:ascii="Times New Roman" w:hAnsi="Times New Roman" w:cs="Times New Roman"/>
          <w:sz w:val="24"/>
          <w:szCs w:val="24"/>
        </w:rPr>
        <w:t>,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se. Et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ergo</w:t>
      </w:r>
      <w:r w:rsidR="006C74CC" w:rsidRPr="00503F7E">
        <w:rPr>
          <w:rFonts w:ascii="Times New Roman" w:hAnsi="Times New Roman" w:cs="Times New Roman"/>
          <w:sz w:val="24"/>
          <w:szCs w:val="24"/>
        </w:rPr>
        <w:t>,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pro modulo</w:t>
      </w:r>
      <w:r w:rsidR="006C74C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infatigabiliter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memor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fueris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Dei</w:t>
      </w:r>
      <w:r w:rsidR="006C74CC" w:rsidRPr="00503F7E">
        <w:rPr>
          <w:rFonts w:ascii="Times New Roman" w:hAnsi="Times New Roman" w:cs="Times New Roman"/>
          <w:sz w:val="24"/>
          <w:szCs w:val="24"/>
        </w:rPr>
        <w:t>,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intellexeris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D</w:t>
      </w:r>
      <w:r w:rsidR="006C74CC" w:rsidRPr="00503F7E">
        <w:rPr>
          <w:rFonts w:ascii="Times New Roman" w:hAnsi="Times New Roman" w:cs="Times New Roman"/>
          <w:sz w:val="24"/>
          <w:szCs w:val="24"/>
        </w:rPr>
        <w:t>eum,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/f.125rb/</w:t>
      </w:r>
      <w:r w:rsidR="006C74C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amaueris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D</w:t>
      </w:r>
      <w:r w:rsidR="006C74CC" w:rsidRPr="00503F7E">
        <w:rPr>
          <w:rFonts w:ascii="Times New Roman" w:hAnsi="Times New Roman" w:cs="Times New Roman"/>
          <w:sz w:val="24"/>
          <w:szCs w:val="24"/>
        </w:rPr>
        <w:t>eum,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6C74CC" w:rsidRPr="00503F7E">
        <w:rPr>
          <w:rFonts w:ascii="Times New Roman" w:hAnsi="Times New Roman" w:cs="Times New Roman"/>
          <w:sz w:val="24"/>
          <w:szCs w:val="24"/>
        </w:rPr>
        <w:t>.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4CC" w:rsidRPr="00503F7E">
        <w:rPr>
          <w:rFonts w:ascii="Times New Roman" w:hAnsi="Times New Roman" w:cs="Times New Roman"/>
          <w:sz w:val="24"/>
          <w:szCs w:val="24"/>
        </w:rPr>
        <w:t>Q</w:t>
      </w:r>
      <w:r w:rsidR="00E03BF2" w:rsidRPr="00503F7E">
        <w:rPr>
          <w:rFonts w:ascii="Times New Roman" w:hAnsi="Times New Roman" w:cs="Times New Roman"/>
          <w:sz w:val="24"/>
          <w:szCs w:val="24"/>
        </w:rPr>
        <w:t>uia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n</w:t>
      </w:r>
      <w:r w:rsidR="00105266" w:rsidRPr="00503F7E">
        <w:rPr>
          <w:rFonts w:ascii="Times New Roman" w:hAnsi="Times New Roman" w:cs="Times New Roman"/>
          <w:sz w:val="24"/>
          <w:szCs w:val="24"/>
        </w:rPr>
        <w:t>i</w:t>
      </w:r>
      <w:r w:rsidR="00E03BF2" w:rsidRPr="00503F7E">
        <w:rPr>
          <w:rFonts w:ascii="Times New Roman" w:hAnsi="Times New Roman" w:cs="Times New Roman"/>
          <w:sz w:val="24"/>
          <w:szCs w:val="24"/>
        </w:rPr>
        <w:t>teris</w:t>
      </w:r>
      <w:proofErr w:type="spellEnd"/>
      <w:r w:rsidR="00105266" w:rsidRPr="00503F7E">
        <w:rPr>
          <w:rFonts w:ascii="Times New Roman" w:hAnsi="Times New Roman" w:cs="Times New Roman"/>
          <w:sz w:val="24"/>
          <w:szCs w:val="24"/>
        </w:rPr>
        <w:t>,</w:t>
      </w:r>
      <w:r w:rsidR="006C74C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105266" w:rsidRPr="00503F7E">
        <w:rPr>
          <w:rFonts w:ascii="Times New Roman" w:hAnsi="Times New Roman" w:cs="Times New Roman"/>
          <w:sz w:val="24"/>
          <w:szCs w:val="24"/>
        </w:rPr>
        <w:t>.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66" w:rsidRPr="00503F7E">
        <w:rPr>
          <w:rFonts w:ascii="Times New Roman" w:hAnsi="Times New Roman" w:cs="Times New Roman"/>
          <w:sz w:val="24"/>
          <w:szCs w:val="24"/>
        </w:rPr>
        <w:t>S</w:t>
      </w:r>
      <w:r w:rsidR="00E03BF2" w:rsidRPr="00503F7E">
        <w:rPr>
          <w:rFonts w:ascii="Times New Roman" w:hAnsi="Times New Roman" w:cs="Times New Roman"/>
          <w:sz w:val="24"/>
          <w:szCs w:val="24"/>
        </w:rPr>
        <w:t>icut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grauiter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os</w:t>
      </w:r>
      <w:r w:rsidR="00DE2816" w:rsidRPr="00503F7E">
        <w:rPr>
          <w:rFonts w:ascii="Times New Roman" w:hAnsi="Times New Roman" w:cs="Times New Roman"/>
          <w:sz w:val="24"/>
          <w:szCs w:val="24"/>
        </w:rPr>
        <w:t>t</w:t>
      </w:r>
      <w:r w:rsidR="00E03BF2" w:rsidRPr="00503F7E">
        <w:rPr>
          <w:rFonts w:ascii="Times New Roman" w:hAnsi="Times New Roman" w:cs="Times New Roman"/>
          <w:sz w:val="24"/>
          <w:szCs w:val="24"/>
        </w:rPr>
        <w:t>enderet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6C74CC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palacio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detur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paret</w:t>
      </w:r>
      <w:proofErr w:type="spellEnd"/>
      <w:r w:rsidR="005E36B4" w:rsidRPr="00503F7E">
        <w:rPr>
          <w:rFonts w:ascii="Times New Roman" w:hAnsi="Times New Roman" w:cs="Times New Roman"/>
          <w:sz w:val="24"/>
          <w:szCs w:val="24"/>
        </w:rPr>
        <w:t>,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sic qui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deturpat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6C74C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in anima.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E03BF2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E03BF2" w:rsidRPr="00503F7E">
        <w:rPr>
          <w:rFonts w:ascii="Times New Roman" w:hAnsi="Times New Roman" w:cs="Times New Roman"/>
          <w:i/>
          <w:iCs/>
          <w:sz w:val="24"/>
          <w:szCs w:val="24"/>
        </w:rPr>
        <w:t>Mattheum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38, ad hoc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9D2E1B" w:rsidRPr="00503F7E">
        <w:rPr>
          <w:rFonts w:ascii="Times New Roman" w:hAnsi="Times New Roman" w:cs="Times New Roman"/>
          <w:sz w:val="24"/>
          <w:szCs w:val="24"/>
        </w:rPr>
        <w:t>,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imitatores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simus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9D2E1B" w:rsidRPr="00503F7E">
        <w:rPr>
          <w:rFonts w:ascii="Times New Roman" w:hAnsi="Times New Roman" w:cs="Times New Roman"/>
          <w:sz w:val="24"/>
          <w:szCs w:val="24"/>
        </w:rPr>
        <w:t>.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9D2E1B" w:rsidRPr="00503F7E">
        <w:rPr>
          <w:rFonts w:ascii="Times New Roman" w:hAnsi="Times New Roman" w:cs="Times New Roman"/>
          <w:sz w:val="24"/>
          <w:szCs w:val="24"/>
        </w:rPr>
        <w:t>E</w:t>
      </w:r>
      <w:r w:rsidR="00E03BF2" w:rsidRPr="00503F7E">
        <w:rPr>
          <w:rFonts w:ascii="Times New Roman" w:hAnsi="Times New Roman" w:cs="Times New Roman"/>
          <w:sz w:val="24"/>
          <w:szCs w:val="24"/>
        </w:rPr>
        <w:t xml:space="preserve">t non ad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maiestatis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imitari</w:t>
      </w:r>
      <w:proofErr w:type="spellEnd"/>
      <w:r w:rsidR="00E03BF2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F2" w:rsidRPr="00503F7E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9D2E1B" w:rsidRPr="00503F7E">
        <w:rPr>
          <w:rFonts w:ascii="Times New Roman" w:hAnsi="Times New Roman" w:cs="Times New Roman"/>
          <w:sz w:val="24"/>
          <w:szCs w:val="24"/>
        </w:rPr>
        <w:t>,</w:t>
      </w:r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E1B" w:rsidRPr="00503F7E">
        <w:rPr>
          <w:rFonts w:ascii="Times New Roman" w:hAnsi="Times New Roman" w:cs="Times New Roman"/>
          <w:sz w:val="24"/>
          <w:szCs w:val="24"/>
        </w:rPr>
        <w:t>a</w:t>
      </w:r>
      <w:r w:rsidR="008A6C7E" w:rsidRPr="00503F7E">
        <w:rPr>
          <w:rFonts w:ascii="Times New Roman" w:hAnsi="Times New Roman" w:cs="Times New Roman"/>
          <w:sz w:val="24"/>
          <w:szCs w:val="24"/>
        </w:rPr>
        <w:t>utem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diuinitatem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imitari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possumus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Matt.</w:t>
      </w:r>
      <w:r w:rsidR="009D2E1B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8A6C7E" w:rsidRPr="00503F7E">
        <w:rPr>
          <w:rFonts w:ascii="Times New Roman" w:hAnsi="Times New Roman" w:cs="Times New Roman"/>
          <w:sz w:val="24"/>
          <w:szCs w:val="24"/>
        </w:rPr>
        <w:t xml:space="preserve">26[:72]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dicet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reprobis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8A6C7E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8A6C7E" w:rsidRPr="00503F7E">
        <w:rPr>
          <w:rFonts w:ascii="Times New Roman" w:hAnsi="Times New Roman" w:cs="Times New Roman"/>
          <w:i/>
          <w:iCs/>
          <w:sz w:val="24"/>
          <w:szCs w:val="24"/>
        </w:rPr>
        <w:t>noui</w:t>
      </w:r>
      <w:proofErr w:type="spellEnd"/>
      <w:r w:rsidR="008A6C7E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uos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videbit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imitacionem</w:t>
      </w:r>
      <w:proofErr w:type="spellEnd"/>
      <w:r w:rsidR="009D2E1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1357E6" w:rsidRPr="00503F7E">
        <w:rPr>
          <w:rFonts w:ascii="Times New Roman" w:hAnsi="Times New Roman" w:cs="Times New Roman"/>
          <w:sz w:val="24"/>
          <w:szCs w:val="24"/>
        </w:rPr>
        <w:t>.</w:t>
      </w:r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1357E6" w:rsidRPr="00503F7E">
        <w:rPr>
          <w:rFonts w:ascii="Times New Roman" w:hAnsi="Times New Roman" w:cs="Times New Roman"/>
          <w:sz w:val="24"/>
          <w:szCs w:val="24"/>
        </w:rPr>
        <w:t>N</w:t>
      </w:r>
      <w:r w:rsidR="008A6C7E" w:rsidRPr="00503F7E">
        <w:rPr>
          <w:rFonts w:ascii="Times New Roman" w:hAnsi="Times New Roman" w:cs="Times New Roman"/>
          <w:sz w:val="24"/>
          <w:szCs w:val="24"/>
        </w:rPr>
        <w:t xml:space="preserve">on possum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meos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in quibus nihil quos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reperio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, Matt. 22[:20]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Christus, </w:t>
      </w:r>
      <w:proofErr w:type="spellStart"/>
      <w:r w:rsidR="008A6C7E" w:rsidRPr="00503F7E">
        <w:rPr>
          <w:rFonts w:ascii="Times New Roman" w:hAnsi="Times New Roman" w:cs="Times New Roman"/>
          <w:i/>
          <w:iCs/>
          <w:sz w:val="24"/>
          <w:szCs w:val="24"/>
        </w:rPr>
        <w:t>Cujus</w:t>
      </w:r>
      <w:proofErr w:type="spellEnd"/>
      <w:r w:rsidR="008A6C7E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8A6C7E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 imago</w:t>
      </w:r>
      <w:r w:rsidR="008A6C7E" w:rsidRPr="00503F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Seneca, 10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7E" w:rsidRPr="00503F7E">
        <w:rPr>
          <w:rFonts w:ascii="Times New Roman" w:hAnsi="Times New Roman" w:cs="Times New Roman"/>
          <w:i/>
          <w:iCs/>
          <w:sz w:val="24"/>
          <w:szCs w:val="24"/>
        </w:rPr>
        <w:t>Declamationes</w:t>
      </w:r>
      <w:proofErr w:type="spellEnd"/>
      <w:r w:rsidR="008A6C7E" w:rsidRPr="00503F7E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="008A6C7E" w:rsidRPr="00503F7E">
        <w:rPr>
          <w:rFonts w:ascii="Times New Roman" w:hAnsi="Times New Roman" w:cs="Times New Roman"/>
          <w:sz w:val="24"/>
          <w:szCs w:val="24"/>
        </w:rPr>
        <w:t>quo</w:t>
      </w:r>
      <w:r w:rsidR="0026626B" w:rsidRPr="00503F7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Minerue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reddebit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Troiam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inuincibilem</w:t>
      </w:r>
      <w:proofErr w:type="spellEnd"/>
      <w:r w:rsidR="009D2E1B" w:rsidRPr="00503F7E">
        <w:rPr>
          <w:rFonts w:ascii="Times New Roman" w:hAnsi="Times New Roman" w:cs="Times New Roman"/>
          <w:sz w:val="24"/>
          <w:szCs w:val="24"/>
        </w:rPr>
        <w:t xml:space="preserve">, 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Diomedes et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Ulixes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de nocte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furatei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sunt</w:t>
      </w:r>
      <w:r w:rsidR="009D2E1B" w:rsidRPr="00503F7E">
        <w:rPr>
          <w:rFonts w:ascii="Times New Roman" w:hAnsi="Times New Roman" w:cs="Times New Roman"/>
          <w:sz w:val="24"/>
          <w:szCs w:val="24"/>
        </w:rPr>
        <w:t>,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victa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terra</w:t>
      </w:r>
      <w:r w:rsidR="009D2E1B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capta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, et sic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ymago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aufertur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vincitur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homo</w:t>
      </w:r>
      <w:r w:rsidR="001357E6" w:rsidRPr="00503F7E">
        <w:rPr>
          <w:rFonts w:ascii="Times New Roman" w:hAnsi="Times New Roman" w:cs="Times New Roman"/>
          <w:sz w:val="24"/>
          <w:szCs w:val="24"/>
        </w:rPr>
        <w:t>.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7E6" w:rsidRPr="00503F7E">
        <w:rPr>
          <w:rFonts w:ascii="Times New Roman" w:hAnsi="Times New Roman" w:cs="Times New Roman"/>
          <w:sz w:val="24"/>
          <w:szCs w:val="24"/>
        </w:rPr>
        <w:t>Q</w:t>
      </w:r>
      <w:r w:rsidR="0026626B" w:rsidRPr="00503F7E">
        <w:rPr>
          <w:rFonts w:ascii="Times New Roman" w:hAnsi="Times New Roman" w:cs="Times New Roman"/>
          <w:sz w:val="24"/>
          <w:szCs w:val="24"/>
        </w:rPr>
        <w:t>uando</w:t>
      </w:r>
      <w:proofErr w:type="spellEnd"/>
      <w:r w:rsidR="009D2E1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ymago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sigillo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alicuius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deturpatur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furagitur</w:t>
      </w:r>
      <w:proofErr w:type="spellEnd"/>
      <w:r w:rsidR="005F3AEC" w:rsidRPr="00503F7E">
        <w:rPr>
          <w:rFonts w:ascii="Times New Roman" w:hAnsi="Times New Roman" w:cs="Times New Roman"/>
          <w:sz w:val="24"/>
          <w:szCs w:val="24"/>
        </w:rPr>
        <w:t>,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 non</w:t>
      </w:r>
      <w:r w:rsidR="009D2E1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obeditur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littre</w:t>
      </w:r>
      <w:proofErr w:type="spellEnd"/>
      <w:r w:rsidR="00DC5CBA" w:rsidRPr="00503F7E">
        <w:rPr>
          <w:rFonts w:ascii="Times New Roman" w:hAnsi="Times New Roman" w:cs="Times New Roman"/>
          <w:sz w:val="24"/>
          <w:szCs w:val="24"/>
        </w:rPr>
        <w:t>.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BA" w:rsidRPr="00503F7E">
        <w:rPr>
          <w:rFonts w:ascii="Times New Roman" w:hAnsi="Times New Roman" w:cs="Times New Roman"/>
          <w:sz w:val="24"/>
          <w:szCs w:val="24"/>
        </w:rPr>
        <w:t>S</w:t>
      </w:r>
      <w:r w:rsidR="0026626B" w:rsidRPr="00503F7E">
        <w:rPr>
          <w:rFonts w:ascii="Times New Roman" w:hAnsi="Times New Roman" w:cs="Times New Roman"/>
          <w:sz w:val="24"/>
          <w:szCs w:val="24"/>
        </w:rPr>
        <w:t>icut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DC5CBA" w:rsidRPr="00503F7E">
        <w:rPr>
          <w:rFonts w:ascii="Times New Roman" w:hAnsi="Times New Roman" w:cs="Times New Roman"/>
          <w:sz w:val="24"/>
          <w:szCs w:val="24"/>
        </w:rPr>
        <w:t>E</w:t>
      </w:r>
      <w:r w:rsidR="0026626B" w:rsidRPr="00503F7E">
        <w:rPr>
          <w:rFonts w:ascii="Times New Roman" w:hAnsi="Times New Roman" w:cs="Times New Roman"/>
          <w:sz w:val="24"/>
          <w:szCs w:val="24"/>
        </w:rPr>
        <w:t>xtra</w:t>
      </w:r>
      <w:r w:rsidR="00DC5CBA" w:rsidRPr="00503F7E">
        <w:rPr>
          <w:rFonts w:ascii="Times New Roman" w:hAnsi="Times New Roman" w:cs="Times New Roman"/>
          <w:sz w:val="24"/>
          <w:szCs w:val="24"/>
        </w:rPr>
        <w:t>.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De fide </w:t>
      </w:r>
      <w:proofErr w:type="spellStart"/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C5CBA" w:rsidRPr="00503F7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>str</w:t>
      </w:r>
      <w:r w:rsidR="00DC5CBA" w:rsidRPr="00503F7E">
        <w:rPr>
          <w:rFonts w:ascii="Times New Roman" w:hAnsi="Times New Roman" w:cs="Times New Roman"/>
          <w:i/>
          <w:iCs/>
          <w:sz w:val="24"/>
          <w:szCs w:val="24"/>
        </w:rPr>
        <w:t>ument</w:t>
      </w:r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>orum</w:t>
      </w:r>
      <w:proofErr w:type="spellEnd"/>
      <w:r w:rsidR="00DC5CBA" w:rsidRPr="00503F7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c. </w:t>
      </w:r>
      <w:r w:rsidR="00DC5CBA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>Dilect</w:t>
      </w:r>
      <w:r w:rsidR="00DC5CBA" w:rsidRPr="00503F7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DC5CBA" w:rsidRPr="00503F7E">
        <w:rPr>
          <w:rFonts w:ascii="Times New Roman" w:hAnsi="Times New Roman" w:cs="Times New Roman"/>
          <w:sz w:val="24"/>
          <w:szCs w:val="24"/>
        </w:rPr>
        <w:t>.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BA" w:rsidRPr="00503F7E">
        <w:rPr>
          <w:rFonts w:ascii="Times New Roman" w:hAnsi="Times New Roman" w:cs="Times New Roman"/>
          <w:sz w:val="24"/>
          <w:szCs w:val="24"/>
        </w:rPr>
        <w:t>L</w:t>
      </w:r>
      <w:r w:rsidR="0026626B" w:rsidRPr="00503F7E">
        <w:rPr>
          <w:rFonts w:ascii="Times New Roman" w:hAnsi="Times New Roman" w:cs="Times New Roman"/>
          <w:sz w:val="24"/>
          <w:szCs w:val="24"/>
        </w:rPr>
        <w:t>egitur</w:t>
      </w:r>
      <w:proofErr w:type="spellEnd"/>
      <w:r w:rsidR="00456BC6">
        <w:rPr>
          <w:rFonts w:ascii="Times New Roman" w:hAnsi="Times New Roman" w:cs="Times New Roman"/>
          <w:sz w:val="24"/>
          <w:szCs w:val="24"/>
        </w:rPr>
        <w:t xml:space="preserve"> 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in </w:t>
      </w:r>
      <w:r w:rsidR="001373B9" w:rsidRPr="00503F7E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istoria </w:t>
      </w:r>
      <w:proofErr w:type="spellStart"/>
      <w:r w:rsidR="0026626B" w:rsidRPr="00503F7E">
        <w:rPr>
          <w:rFonts w:ascii="Times New Roman" w:hAnsi="Times New Roman" w:cs="Times New Roman"/>
          <w:i/>
          <w:iCs/>
          <w:sz w:val="24"/>
          <w:szCs w:val="24"/>
        </w:rPr>
        <w:t>tripartita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9</w:t>
      </w:r>
      <w:r w:rsidR="005F3AEC" w:rsidRPr="00503F7E">
        <w:rPr>
          <w:rFonts w:ascii="Times New Roman" w:hAnsi="Times New Roman" w:cs="Times New Roman"/>
          <w:sz w:val="24"/>
          <w:szCs w:val="24"/>
        </w:rPr>
        <w:t>,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 c. 32, cum Theodosius imperator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fecisset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pulcram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EC" w:rsidRPr="00503F7E">
        <w:rPr>
          <w:rFonts w:ascii="Times New Roman" w:hAnsi="Times New Roman" w:cs="Times New Roman"/>
          <w:sz w:val="24"/>
          <w:szCs w:val="24"/>
        </w:rPr>
        <w:t>F</w:t>
      </w:r>
      <w:r w:rsidR="0026626B" w:rsidRPr="00503F7E">
        <w:rPr>
          <w:rFonts w:ascii="Times New Roman" w:hAnsi="Times New Roman" w:cs="Times New Roman"/>
          <w:sz w:val="24"/>
          <w:szCs w:val="24"/>
        </w:rPr>
        <w:t>la</w:t>
      </w:r>
      <w:r w:rsidR="00F2518C" w:rsidRPr="00503F7E">
        <w:rPr>
          <w:rFonts w:ascii="Times New Roman" w:hAnsi="Times New Roman" w:cs="Times New Roman"/>
          <w:sz w:val="24"/>
          <w:szCs w:val="24"/>
        </w:rPr>
        <w:t>c</w:t>
      </w:r>
      <w:r w:rsidR="0026626B" w:rsidRPr="00503F7E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uxoris sue et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posuisset</w:t>
      </w:r>
      <w:proofErr w:type="spellEnd"/>
      <w:r w:rsidR="00CA3FE6" w:rsidRPr="00503F7E">
        <w:rPr>
          <w:rFonts w:ascii="Times New Roman" w:hAnsi="Times New Roman" w:cs="Times New Roman"/>
          <w:sz w:val="24"/>
          <w:szCs w:val="24"/>
        </w:rPr>
        <w:t xml:space="preserve"> 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in ecclesia Antiochene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ciuitatis</w:t>
      </w:r>
      <w:proofErr w:type="spellEnd"/>
      <w:r w:rsidR="005F3AEC" w:rsidRPr="00503F7E">
        <w:rPr>
          <w:rFonts w:ascii="Times New Roman" w:hAnsi="Times New Roman" w:cs="Times New Roman"/>
          <w:sz w:val="24"/>
          <w:szCs w:val="24"/>
        </w:rPr>
        <w:t>,</w:t>
      </w:r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ciues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6626B" w:rsidRPr="00503F7E">
        <w:rPr>
          <w:rFonts w:ascii="Times New Roman" w:hAnsi="Times New Roman" w:cs="Times New Roman"/>
          <w:sz w:val="24"/>
          <w:szCs w:val="24"/>
        </w:rPr>
        <w:t xml:space="preserve"> imperator </w:t>
      </w:r>
      <w:proofErr w:type="spellStart"/>
      <w:r w:rsidR="0026626B" w:rsidRPr="00503F7E">
        <w:rPr>
          <w:rFonts w:ascii="Times New Roman" w:hAnsi="Times New Roman" w:cs="Times New Roman"/>
          <w:sz w:val="24"/>
          <w:szCs w:val="24"/>
        </w:rPr>
        <w:t>i</w:t>
      </w:r>
      <w:r w:rsidR="00F2518C" w:rsidRPr="00503F7E">
        <w:rPr>
          <w:rFonts w:ascii="Times New Roman" w:hAnsi="Times New Roman" w:cs="Times New Roman"/>
          <w:sz w:val="24"/>
          <w:szCs w:val="24"/>
        </w:rPr>
        <w:t>mposuisset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ve</w:t>
      </w:r>
      <w:r w:rsidR="005F3AEC" w:rsidRPr="00503F7E">
        <w:rPr>
          <w:rFonts w:ascii="Times New Roman" w:hAnsi="Times New Roman" w:cs="Times New Roman"/>
          <w:sz w:val="24"/>
          <w:szCs w:val="24"/>
        </w:rPr>
        <w:t>c</w:t>
      </w:r>
      <w:r w:rsidR="00F2518C" w:rsidRPr="00503F7E">
        <w:rPr>
          <w:rFonts w:ascii="Times New Roman" w:hAnsi="Times New Roman" w:cs="Times New Roman"/>
          <w:sz w:val="24"/>
          <w:szCs w:val="24"/>
        </w:rPr>
        <w:t>tigal</w:t>
      </w:r>
      <w:proofErr w:type="spellEnd"/>
      <w:r w:rsidR="005F3AEC" w:rsidRPr="00503F7E">
        <w:rPr>
          <w:rFonts w:ascii="Times New Roman" w:hAnsi="Times New Roman" w:cs="Times New Roman"/>
          <w:sz w:val="24"/>
          <w:szCs w:val="24"/>
        </w:rPr>
        <w:t>,</w:t>
      </w:r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CA3FE6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deponentes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traxerunt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vrbe</w:t>
      </w:r>
      <w:proofErr w:type="spellEnd"/>
      <w:r w:rsidR="005F3AEC" w:rsidRPr="00503F7E">
        <w:rPr>
          <w:rFonts w:ascii="Times New Roman" w:hAnsi="Times New Roman" w:cs="Times New Roman"/>
          <w:sz w:val="24"/>
          <w:szCs w:val="24"/>
        </w:rPr>
        <w:t>.</w:t>
      </w:r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EC" w:rsidRPr="00503F7E">
        <w:rPr>
          <w:rFonts w:ascii="Times New Roman" w:hAnsi="Times New Roman" w:cs="Times New Roman"/>
          <w:sz w:val="24"/>
          <w:szCs w:val="24"/>
        </w:rPr>
        <w:t>Q</w:t>
      </w:r>
      <w:r w:rsidR="00F2518C" w:rsidRPr="00503F7E">
        <w:rPr>
          <w:rFonts w:ascii="Times New Roman" w:hAnsi="Times New Roman" w:cs="Times New Roman"/>
          <w:sz w:val="24"/>
          <w:szCs w:val="24"/>
        </w:rPr>
        <w:t>uapropter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imperator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priuilegia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reuocauit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tradidit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principatum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Laodice</w:t>
      </w:r>
      <w:r w:rsidR="005F3AEC" w:rsidRPr="00503F7E">
        <w:rPr>
          <w:rFonts w:ascii="Times New Roman" w:hAnsi="Times New Roman" w:cs="Times New Roman"/>
          <w:sz w:val="24"/>
          <w:szCs w:val="24"/>
        </w:rPr>
        <w:t>,</w:t>
      </w:r>
      <w:r w:rsidR="00CA3FE6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inferiori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ciuitati</w:t>
      </w:r>
      <w:proofErr w:type="spellEnd"/>
      <w:r w:rsidR="005F3AEC" w:rsidRPr="00503F7E">
        <w:rPr>
          <w:rFonts w:ascii="Times New Roman" w:hAnsi="Times New Roman" w:cs="Times New Roman"/>
          <w:sz w:val="24"/>
          <w:szCs w:val="24"/>
        </w:rPr>
        <w:t>,</w:t>
      </w:r>
      <w:r w:rsidR="00F2518C" w:rsidRPr="00503F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proposuit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destruxisse</w:t>
      </w:r>
      <w:proofErr w:type="spellEnd"/>
      <w:r w:rsidR="005F3AEC" w:rsidRPr="00503F7E">
        <w:rPr>
          <w:rFonts w:ascii="Times New Roman" w:hAnsi="Times New Roman" w:cs="Times New Roman"/>
          <w:sz w:val="24"/>
          <w:szCs w:val="24"/>
        </w:rPr>
        <w:t>,</w:t>
      </w:r>
      <w:r w:rsidR="00F2518C" w:rsidRPr="00503F7E">
        <w:rPr>
          <w:rFonts w:ascii="Times New Roman" w:hAnsi="Times New Roman" w:cs="Times New Roman"/>
          <w:sz w:val="24"/>
          <w:szCs w:val="24"/>
        </w:rPr>
        <w:t xml:space="preserve"> nisi per</w:t>
      </w:r>
      <w:r w:rsidR="00CA3FE6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heremitam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instigatus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fuisset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Philosophus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F2518C" w:rsidRPr="00503F7E">
        <w:rPr>
          <w:rFonts w:ascii="Times New Roman" w:hAnsi="Times New Roman" w:cs="Times New Roman"/>
          <w:i/>
          <w:iCs/>
          <w:sz w:val="24"/>
          <w:szCs w:val="24"/>
        </w:rPr>
        <w:t>Pol</w:t>
      </w:r>
      <w:r w:rsidR="00CE1266" w:rsidRPr="00503F7E">
        <w:rPr>
          <w:rFonts w:ascii="Times New Roman" w:hAnsi="Times New Roman" w:cs="Times New Roman"/>
          <w:i/>
          <w:iCs/>
          <w:sz w:val="24"/>
          <w:szCs w:val="24"/>
        </w:rPr>
        <w:t>iticorum</w:t>
      </w:r>
      <w:proofErr w:type="spellEnd"/>
      <w:r w:rsidR="00F2518C" w:rsidRPr="00503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18C" w:rsidRPr="00503F7E">
        <w:rPr>
          <w:rFonts w:ascii="Times New Roman" w:hAnsi="Times New Roman" w:cs="Times New Roman"/>
          <w:sz w:val="24"/>
          <w:szCs w:val="24"/>
        </w:rPr>
        <w:t>c. 18</w:t>
      </w:r>
      <w:r w:rsidR="00C25A92" w:rsidRPr="00503F7E">
        <w:rPr>
          <w:rFonts w:ascii="Times New Roman" w:hAnsi="Times New Roman" w:cs="Times New Roman"/>
          <w:sz w:val="24"/>
          <w:szCs w:val="24"/>
        </w:rPr>
        <w:t>,</w:t>
      </w:r>
      <w:r w:rsidR="00CA3FE6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sepulchrum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ponebantur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ymagines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18C" w:rsidRPr="00503F7E">
        <w:rPr>
          <w:rFonts w:ascii="Times New Roman" w:hAnsi="Times New Roman" w:cs="Times New Roman"/>
          <w:sz w:val="24"/>
          <w:szCs w:val="24"/>
        </w:rPr>
        <w:t>deuisisset</w:t>
      </w:r>
      <w:proofErr w:type="spellEnd"/>
      <w:r w:rsidR="00F2518C" w:rsidRPr="00503F7E">
        <w:rPr>
          <w:rFonts w:ascii="Times New Roman" w:hAnsi="Times New Roman" w:cs="Times New Roman"/>
          <w:sz w:val="24"/>
          <w:szCs w:val="24"/>
        </w:rPr>
        <w:t>.</w:t>
      </w:r>
    </w:p>
    <w:sectPr w:rsidR="00F2518C" w:rsidRPr="00503F7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F0B6F" w14:textId="77777777" w:rsidR="00874191" w:rsidRDefault="00874191" w:rsidP="0008171E">
      <w:pPr>
        <w:spacing w:after="0" w:line="240" w:lineRule="auto"/>
      </w:pPr>
      <w:r>
        <w:separator/>
      </w:r>
    </w:p>
  </w:endnote>
  <w:endnote w:type="continuationSeparator" w:id="0">
    <w:p w14:paraId="067CE1A9" w14:textId="77777777" w:rsidR="00874191" w:rsidRDefault="00874191" w:rsidP="0008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2382F" w14:textId="77777777" w:rsidR="00874191" w:rsidRDefault="00874191" w:rsidP="0008171E">
      <w:pPr>
        <w:spacing w:after="0" w:line="240" w:lineRule="auto"/>
      </w:pPr>
      <w:r>
        <w:separator/>
      </w:r>
    </w:p>
  </w:footnote>
  <w:footnote w:type="continuationSeparator" w:id="0">
    <w:p w14:paraId="1C097696" w14:textId="77777777" w:rsidR="00874191" w:rsidRDefault="00874191" w:rsidP="00081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1E"/>
    <w:rsid w:val="0008171E"/>
    <w:rsid w:val="000D3E57"/>
    <w:rsid w:val="00105266"/>
    <w:rsid w:val="001357E6"/>
    <w:rsid w:val="001373B9"/>
    <w:rsid w:val="001B26C4"/>
    <w:rsid w:val="0026626B"/>
    <w:rsid w:val="002E59FC"/>
    <w:rsid w:val="002F4B44"/>
    <w:rsid w:val="00456BC6"/>
    <w:rsid w:val="00503F7E"/>
    <w:rsid w:val="005339CC"/>
    <w:rsid w:val="005E36B4"/>
    <w:rsid w:val="005F3AEC"/>
    <w:rsid w:val="0062161A"/>
    <w:rsid w:val="006C48BC"/>
    <w:rsid w:val="006C683F"/>
    <w:rsid w:val="006C74CC"/>
    <w:rsid w:val="007F515F"/>
    <w:rsid w:val="00874191"/>
    <w:rsid w:val="00875040"/>
    <w:rsid w:val="008A6C7E"/>
    <w:rsid w:val="00913F03"/>
    <w:rsid w:val="009D2E1B"/>
    <w:rsid w:val="009F67D8"/>
    <w:rsid w:val="00BB4F1E"/>
    <w:rsid w:val="00C129DF"/>
    <w:rsid w:val="00C25A92"/>
    <w:rsid w:val="00C35641"/>
    <w:rsid w:val="00C71C61"/>
    <w:rsid w:val="00CA3FE6"/>
    <w:rsid w:val="00CE1266"/>
    <w:rsid w:val="00D3497A"/>
    <w:rsid w:val="00D57CDC"/>
    <w:rsid w:val="00DC5CBA"/>
    <w:rsid w:val="00DE2816"/>
    <w:rsid w:val="00E03BF2"/>
    <w:rsid w:val="00E56D19"/>
    <w:rsid w:val="00E67868"/>
    <w:rsid w:val="00E8785D"/>
    <w:rsid w:val="00F2518C"/>
    <w:rsid w:val="00F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A9C9"/>
  <w15:chartTrackingRefBased/>
  <w15:docId w15:val="{34AAD688-8292-4297-8ACB-B8C189D0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817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7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17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56A5-11C5-4DD0-8778-6E7B3004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2019-12-21T19:21:00Z</cp:lastPrinted>
  <dcterms:created xsi:type="dcterms:W3CDTF">2021-03-04T00:10:00Z</dcterms:created>
  <dcterms:modified xsi:type="dcterms:W3CDTF">2021-03-04T00:10:00Z</dcterms:modified>
</cp:coreProperties>
</file>