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80B220" w14:textId="46B24375" w:rsidR="005365E9" w:rsidRPr="006851AA" w:rsidRDefault="00966765" w:rsidP="00AF5056">
      <w:pPr>
        <w:spacing w:line="480" w:lineRule="auto"/>
        <w:rPr>
          <w:rFonts w:ascii="Times New Roman" w:hAnsi="Times New Roman" w:cs="Times New Roman"/>
        </w:rPr>
      </w:pPr>
      <w:r w:rsidRPr="006851AA">
        <w:rPr>
          <w:rFonts w:ascii="Times New Roman" w:hAnsi="Times New Roman" w:cs="Times New Roman"/>
        </w:rPr>
        <w:t>365 Witness, Testimony (</w:t>
      </w:r>
      <w:r w:rsidRPr="006851AA">
        <w:rPr>
          <w:rFonts w:ascii="Times New Roman" w:hAnsi="Times New Roman" w:cs="Times New Roman"/>
          <w:i/>
          <w:iCs/>
        </w:rPr>
        <w:t>Testis, Testimonium</w:t>
      </w:r>
      <w:r w:rsidRPr="006851AA">
        <w:rPr>
          <w:rFonts w:ascii="Times New Roman" w:hAnsi="Times New Roman" w:cs="Times New Roman"/>
        </w:rPr>
        <w:t>)</w:t>
      </w:r>
    </w:p>
    <w:p w14:paraId="3FD2C302" w14:textId="3F34DCEE" w:rsidR="00AF5056" w:rsidRPr="006851AA" w:rsidRDefault="00AF5056" w:rsidP="00AF5056">
      <w:pPr>
        <w:spacing w:line="480" w:lineRule="auto"/>
        <w:rPr>
          <w:rFonts w:ascii="Times New Roman" w:hAnsi="Times New Roman" w:cs="Times New Roman"/>
          <w:shd w:val="clear" w:color="auto" w:fill="FFFFFF"/>
        </w:rPr>
      </w:pPr>
      <w:r w:rsidRPr="006851AA">
        <w:rPr>
          <w:rFonts w:ascii="Times New Roman" w:hAnsi="Times New Roman" w:cs="Times New Roman"/>
        </w:rPr>
        <w:t>Just men have testimony in this world from three things, namely from Christ, because man ought to live thus so others may be edified in testimony he offers for his goodness, 1 Tim. 3[:7]: “</w:t>
      </w:r>
      <w:r w:rsidRPr="006851AA">
        <w:rPr>
          <w:rFonts w:ascii="Times New Roman" w:hAnsi="Times New Roman" w:cs="Times New Roman"/>
          <w:shd w:val="clear" w:color="auto" w:fill="FFFFFF"/>
        </w:rPr>
        <w:t xml:space="preserve">He must have a good testimony of them who are without.” A good craftsman wants to guard his work so that it may not be scorned by men. </w:t>
      </w:r>
      <w:r w:rsidR="00E31E73" w:rsidRPr="006851AA">
        <w:rPr>
          <w:rFonts w:ascii="Times New Roman" w:hAnsi="Times New Roman" w:cs="Times New Roman"/>
          <w:shd w:val="clear" w:color="auto" w:fill="FFFFFF"/>
        </w:rPr>
        <w:t>So,</w:t>
      </w:r>
      <w:r w:rsidRPr="006851AA">
        <w:rPr>
          <w:rFonts w:ascii="Times New Roman" w:hAnsi="Times New Roman" w:cs="Times New Roman"/>
          <w:shd w:val="clear" w:color="auto" w:fill="FFFFFF"/>
        </w:rPr>
        <w:t xml:space="preserve"> God wants that man use his members because the creator of those</w:t>
      </w:r>
      <w:r w:rsidR="001F2221" w:rsidRPr="006851AA">
        <w:rPr>
          <w:rFonts w:ascii="Times New Roman" w:hAnsi="Times New Roman" w:cs="Times New Roman"/>
          <w:shd w:val="clear" w:color="auto" w:fill="FFFFFF"/>
        </w:rPr>
        <w:t xml:space="preserve"> may</w:t>
      </w:r>
      <w:r w:rsidRPr="006851AA">
        <w:rPr>
          <w:rFonts w:ascii="Times New Roman" w:hAnsi="Times New Roman" w:cs="Times New Roman"/>
          <w:shd w:val="clear" w:color="auto" w:fill="FFFFFF"/>
        </w:rPr>
        <w:t xml:space="preserve"> be praised, Job 29[:11]: “The ear that heard me blessed me, and the eye that saw me gave witness to me.” It is true because often human judgment is deceived, because whatever is reddish is not gold, </w:t>
      </w:r>
      <w:r w:rsidR="00D914D4" w:rsidRPr="006851AA">
        <w:rPr>
          <w:rFonts w:ascii="Times New Roman" w:hAnsi="Times New Roman" w:cs="Times New Roman"/>
          <w:shd w:val="clear" w:color="auto" w:fill="FFFFFF"/>
        </w:rPr>
        <w:t xml:space="preserve">nor is the ostrich a hawk although it </w:t>
      </w:r>
      <w:r w:rsidR="001F2221" w:rsidRPr="006851AA">
        <w:rPr>
          <w:rFonts w:ascii="Times New Roman" w:hAnsi="Times New Roman" w:cs="Times New Roman"/>
          <w:shd w:val="clear" w:color="auto" w:fill="FFFFFF"/>
        </w:rPr>
        <w:t>looks</w:t>
      </w:r>
      <w:r w:rsidR="00D914D4" w:rsidRPr="006851AA">
        <w:rPr>
          <w:rFonts w:ascii="Times New Roman" w:hAnsi="Times New Roman" w:cs="Times New Roman"/>
          <w:shd w:val="clear" w:color="auto" w:fill="FFFFFF"/>
        </w:rPr>
        <w:t xml:space="preserve"> </w:t>
      </w:r>
      <w:r w:rsidR="00E31E73" w:rsidRPr="006851AA">
        <w:rPr>
          <w:rFonts w:ascii="Times New Roman" w:hAnsi="Times New Roman" w:cs="Times New Roman"/>
          <w:shd w:val="clear" w:color="auto" w:fill="FFFFFF"/>
        </w:rPr>
        <w:t>like</w:t>
      </w:r>
      <w:r w:rsidR="00D914D4" w:rsidRPr="006851AA">
        <w:rPr>
          <w:rFonts w:ascii="Times New Roman" w:hAnsi="Times New Roman" w:cs="Times New Roman"/>
          <w:shd w:val="clear" w:color="auto" w:fill="FFFFFF"/>
        </w:rPr>
        <w:t xml:space="preserve"> it. The same one </w:t>
      </w:r>
      <w:r w:rsidR="00853C6D" w:rsidRPr="006851AA">
        <w:rPr>
          <w:rFonts w:ascii="Times New Roman" w:hAnsi="Times New Roman" w:cs="Times New Roman"/>
          <w:shd w:val="clear" w:color="auto" w:fill="FFFFFF"/>
        </w:rPr>
        <w:t>with the testimony of the neighbor needs another testimony from the interior conscience, 2 Cor. 1[:12]: “For our glory is this, the testimony of our conscience.”</w:t>
      </w:r>
    </w:p>
    <w:p w14:paraId="3C92647D" w14:textId="67DE2106" w:rsidR="00853C6D" w:rsidRPr="006851AA" w:rsidRDefault="00853C6D" w:rsidP="00AF5056">
      <w:pPr>
        <w:spacing w:line="480" w:lineRule="auto"/>
        <w:rPr>
          <w:rFonts w:ascii="Times New Roman" w:hAnsi="Times New Roman" w:cs="Times New Roman"/>
          <w:shd w:val="clear" w:color="auto" w:fill="FFFFFF"/>
        </w:rPr>
      </w:pPr>
      <w:r w:rsidRPr="006851AA">
        <w:rPr>
          <w:rFonts w:ascii="Times New Roman" w:hAnsi="Times New Roman" w:cs="Times New Roman"/>
          <w:shd w:val="clear" w:color="auto" w:fill="FFFFFF"/>
        </w:rPr>
        <w:t xml:space="preserve">¶ But again because man often is deceived about himself. For the frenetic thinks himself sane when a good physician judges him to be sick. </w:t>
      </w:r>
      <w:r w:rsidR="00E31E73" w:rsidRPr="006851AA">
        <w:rPr>
          <w:rFonts w:ascii="Times New Roman" w:hAnsi="Times New Roman" w:cs="Times New Roman"/>
          <w:shd w:val="clear" w:color="auto" w:fill="FFFFFF"/>
        </w:rPr>
        <w:t>Therefore,</w:t>
      </w:r>
      <w:r w:rsidRPr="006851AA">
        <w:rPr>
          <w:rFonts w:ascii="Times New Roman" w:hAnsi="Times New Roman" w:cs="Times New Roman"/>
          <w:shd w:val="clear" w:color="auto" w:fill="FFFFFF"/>
        </w:rPr>
        <w:t xml:space="preserve"> testimony is required by God, Job 16[:20]: “Behold my witness is in heaven, and he that knows my conscience is on high.” </w:t>
      </w:r>
      <w:r w:rsidR="00E31E73" w:rsidRPr="006851AA">
        <w:rPr>
          <w:rFonts w:ascii="Times New Roman" w:hAnsi="Times New Roman" w:cs="Times New Roman"/>
          <w:shd w:val="clear" w:color="auto" w:fill="FFFFFF"/>
        </w:rPr>
        <w:t>Therefore,</w:t>
      </w:r>
      <w:r w:rsidRPr="006851AA">
        <w:rPr>
          <w:rFonts w:ascii="Times New Roman" w:hAnsi="Times New Roman" w:cs="Times New Roman"/>
          <w:shd w:val="clear" w:color="auto" w:fill="FFFFFF"/>
        </w:rPr>
        <w:t xml:space="preserve"> blessed Paul frequently in his epistles says [Rom. 1:9]: “God is my witness.”</w:t>
      </w:r>
    </w:p>
    <w:p w14:paraId="0B7BCA01" w14:textId="0C8653B3" w:rsidR="00853C6D" w:rsidRPr="006851AA" w:rsidRDefault="00853C6D" w:rsidP="00AF5056">
      <w:pPr>
        <w:spacing w:line="480" w:lineRule="auto"/>
        <w:rPr>
          <w:rFonts w:ascii="Times New Roman" w:hAnsi="Times New Roman" w:cs="Times New Roman"/>
          <w:shd w:val="clear" w:color="auto" w:fill="FFFFFF"/>
        </w:rPr>
      </w:pPr>
      <w:r w:rsidRPr="006851AA">
        <w:rPr>
          <w:rFonts w:ascii="Times New Roman" w:hAnsi="Times New Roman" w:cs="Times New Roman"/>
          <w:shd w:val="clear" w:color="auto" w:fill="FFFFFF"/>
        </w:rPr>
        <w:t>¶ Again, we have read that false testimony is prohibited, Exod. 20[:16] and Deut. 5[:20]: “Neither shall you bear false witness against your neighbor.</w:t>
      </w:r>
      <w:r w:rsidR="006C5B11" w:rsidRPr="006851AA">
        <w:rPr>
          <w:rFonts w:ascii="Times New Roman" w:hAnsi="Times New Roman" w:cs="Times New Roman"/>
          <w:shd w:val="clear" w:color="auto" w:fill="FFFFFF"/>
        </w:rPr>
        <w:t>” Such false testimony they had against themselves, four good persons.</w:t>
      </w:r>
    </w:p>
    <w:p w14:paraId="37753BFC" w14:textId="3E2A4ED2" w:rsidR="006C5B11" w:rsidRPr="006851AA" w:rsidRDefault="006C5B11" w:rsidP="00AF5056">
      <w:pPr>
        <w:spacing w:line="480" w:lineRule="auto"/>
        <w:rPr>
          <w:rFonts w:ascii="Times New Roman" w:hAnsi="Times New Roman" w:cs="Times New Roman"/>
          <w:shd w:val="clear" w:color="auto" w:fill="FFFFFF"/>
        </w:rPr>
      </w:pPr>
      <w:r w:rsidRPr="006851AA">
        <w:rPr>
          <w:rFonts w:ascii="Times New Roman" w:hAnsi="Times New Roman" w:cs="Times New Roman"/>
          <w:shd w:val="clear" w:color="auto" w:fill="FFFFFF"/>
        </w:rPr>
        <w:t>First, Naboth. Wherefore he lost his “vineyard,” 3 Reg. 21[:1-20].</w:t>
      </w:r>
    </w:p>
    <w:p w14:paraId="781E9252" w14:textId="63A226B0" w:rsidR="006C5B11" w:rsidRPr="006851AA" w:rsidRDefault="006C5B11" w:rsidP="00AF5056">
      <w:pPr>
        <w:spacing w:line="480" w:lineRule="auto"/>
        <w:rPr>
          <w:rFonts w:ascii="Times New Roman" w:hAnsi="Times New Roman" w:cs="Times New Roman"/>
          <w:shd w:val="clear" w:color="auto" w:fill="FFFFFF"/>
        </w:rPr>
      </w:pPr>
      <w:r w:rsidRPr="006851AA">
        <w:rPr>
          <w:rFonts w:ascii="Times New Roman" w:hAnsi="Times New Roman" w:cs="Times New Roman"/>
          <w:shd w:val="clear" w:color="auto" w:fill="FFFFFF"/>
        </w:rPr>
        <w:t>Second, Susanna. Dan. 13[:21] they said, “We will bear witness against” him.</w:t>
      </w:r>
      <w:r w:rsidR="007D5137" w:rsidRPr="006851AA">
        <w:rPr>
          <w:rStyle w:val="EndnoteReference"/>
          <w:rFonts w:ascii="Times New Roman" w:hAnsi="Times New Roman" w:cs="Times New Roman"/>
          <w:shd w:val="clear" w:color="auto" w:fill="FFFFFF"/>
        </w:rPr>
        <w:endnoteReference w:id="1"/>
      </w:r>
    </w:p>
    <w:p w14:paraId="689D3D53" w14:textId="77D6CEAA" w:rsidR="006C5B11" w:rsidRPr="006851AA" w:rsidRDefault="006C5B11" w:rsidP="00AF5056">
      <w:pPr>
        <w:spacing w:line="480" w:lineRule="auto"/>
        <w:rPr>
          <w:rFonts w:ascii="Times New Roman" w:hAnsi="Times New Roman" w:cs="Times New Roman"/>
        </w:rPr>
      </w:pPr>
      <w:r w:rsidRPr="006851AA">
        <w:rPr>
          <w:rFonts w:ascii="Times New Roman" w:hAnsi="Times New Roman" w:cs="Times New Roman"/>
          <w:shd w:val="clear" w:color="auto" w:fill="FFFFFF"/>
        </w:rPr>
        <w:t>Fourth, Stephen. Act</w:t>
      </w:r>
      <w:r w:rsidR="00FD5097" w:rsidRPr="006851AA">
        <w:rPr>
          <w:rFonts w:ascii="Times New Roman" w:hAnsi="Times New Roman" w:cs="Times New Roman"/>
          <w:shd w:val="clear" w:color="auto" w:fill="FFFFFF"/>
        </w:rPr>
        <w:t>s</w:t>
      </w:r>
      <w:r w:rsidRPr="006851AA">
        <w:rPr>
          <w:rFonts w:ascii="Times New Roman" w:hAnsi="Times New Roman" w:cs="Times New Roman"/>
          <w:shd w:val="clear" w:color="auto" w:fill="FFFFFF"/>
        </w:rPr>
        <w:t xml:space="preserve"> 7[:57]: “The witnesses laid down their garments.”</w:t>
      </w:r>
    </w:p>
    <w:sectPr w:rsidR="006C5B11" w:rsidRPr="006851AA">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6AA1F8" w14:textId="77777777" w:rsidR="00700C22" w:rsidRDefault="00700C22" w:rsidP="007D5137">
      <w:pPr>
        <w:spacing w:after="0" w:line="240" w:lineRule="auto"/>
      </w:pPr>
      <w:r>
        <w:separator/>
      </w:r>
    </w:p>
  </w:endnote>
  <w:endnote w:type="continuationSeparator" w:id="0">
    <w:p w14:paraId="6F0B1316" w14:textId="77777777" w:rsidR="00700C22" w:rsidRDefault="00700C22" w:rsidP="007D5137">
      <w:pPr>
        <w:spacing w:after="0" w:line="240" w:lineRule="auto"/>
      </w:pPr>
      <w:r>
        <w:continuationSeparator/>
      </w:r>
    </w:p>
  </w:endnote>
  <w:endnote w:id="1">
    <w:p w14:paraId="4A715075" w14:textId="7403B115" w:rsidR="00700C22" w:rsidRPr="00055B7E" w:rsidRDefault="00700C22" w:rsidP="007D5137">
      <w:pPr>
        <w:pStyle w:val="EndnoteText"/>
        <w:rPr>
          <w:rFonts w:ascii="Times New Roman" w:hAnsi="Times New Roman" w:cs="Times New Roman"/>
          <w:sz w:val="24"/>
          <w:szCs w:val="24"/>
        </w:rPr>
      </w:pPr>
      <w:r w:rsidRPr="00055B7E">
        <w:rPr>
          <w:rStyle w:val="EndnoteReference"/>
          <w:rFonts w:ascii="Times New Roman" w:hAnsi="Times New Roman" w:cs="Times New Roman"/>
          <w:sz w:val="24"/>
          <w:szCs w:val="24"/>
        </w:rPr>
        <w:endnoteRef/>
      </w:r>
      <w:r w:rsidRPr="00055B7E">
        <w:rPr>
          <w:rFonts w:ascii="Times New Roman" w:hAnsi="Times New Roman" w:cs="Times New Roman"/>
          <w:sz w:val="24"/>
          <w:szCs w:val="24"/>
        </w:rPr>
        <w:t xml:space="preserve"> An example of a third good person is not given</w:t>
      </w:r>
      <w:r w:rsidR="00055B7E" w:rsidRPr="00055B7E">
        <w:rPr>
          <w:rFonts w:ascii="Times New Roman" w:hAnsi="Times New Roman" w:cs="Times New Roman"/>
          <w:sz w:val="24"/>
          <w:szCs w:val="24"/>
        </w:rPr>
        <w:t>; it is probably meant to be Christ.</w:t>
      </w:r>
    </w:p>
    <w:p w14:paraId="4CAD55E9" w14:textId="30C5990C" w:rsidR="00055B7E" w:rsidRPr="00055B7E" w:rsidRDefault="00055B7E" w:rsidP="007D5137">
      <w:pPr>
        <w:pStyle w:val="EndnoteText"/>
        <w:rPr>
          <w:rFonts w:ascii="Times New Roman" w:hAnsi="Times New Roman" w:cs="Times New Roman"/>
          <w:sz w:val="24"/>
          <w:szCs w:val="24"/>
        </w:rPr>
      </w:pPr>
    </w:p>
    <w:p w14:paraId="6E0B5D61" w14:textId="7D532D63" w:rsidR="00055B7E" w:rsidRPr="00055B7E" w:rsidRDefault="00055B7E" w:rsidP="00055B7E">
      <w:pPr>
        <w:pStyle w:val="EndnoteText"/>
        <w:rPr>
          <w:rFonts w:ascii="Times New Roman" w:hAnsi="Times New Roman" w:cs="Times New Roman"/>
          <w:sz w:val="24"/>
          <w:szCs w:val="24"/>
        </w:rPr>
      </w:pPr>
      <w:r w:rsidRPr="00055B7E">
        <w:rPr>
          <w:rFonts w:ascii="Times New Roman" w:hAnsi="Times New Roman" w:cs="Times New Roman"/>
          <w:sz w:val="24"/>
          <w:szCs w:val="24"/>
        </w:rPr>
        <w:t xml:space="preserve">Cf. </w:t>
      </w:r>
      <w:r w:rsidRPr="00055B7E">
        <w:rPr>
          <w:rFonts w:ascii="Times New Roman" w:hAnsi="Times New Roman" w:cs="Times New Roman"/>
          <w:sz w:val="24"/>
          <w:szCs w:val="24"/>
        </w:rPr>
        <w:t>Danny Praet, “</w:t>
      </w:r>
      <w:r w:rsidRPr="00055B7E">
        <w:rPr>
          <w:rFonts w:ascii="Times New Roman" w:hAnsi="Times New Roman" w:cs="Times New Roman"/>
          <w:sz w:val="24"/>
          <w:szCs w:val="24"/>
        </w:rPr>
        <w:t>Susanna, the Fathers and the Passio Sereni (BHL 7595-6): Sexual Morals, Intertextuality and Early Christian Self-Definition</w:t>
      </w:r>
      <w:r w:rsidRPr="00055B7E">
        <w:rPr>
          <w:rFonts w:ascii="Times New Roman" w:hAnsi="Times New Roman" w:cs="Times New Roman"/>
          <w:sz w:val="24"/>
          <w:szCs w:val="24"/>
        </w:rPr>
        <w:t xml:space="preserve">” in </w:t>
      </w:r>
      <w:r w:rsidRPr="00055B7E">
        <w:rPr>
          <w:rFonts w:ascii="Times New Roman" w:hAnsi="Times New Roman" w:cs="Times New Roman"/>
          <w:i/>
          <w:iCs/>
          <w:sz w:val="24"/>
          <w:szCs w:val="24"/>
        </w:rPr>
        <w:t>Zeitschrift für Antikes Christentum</w:t>
      </w:r>
      <w:r w:rsidRPr="00055B7E">
        <w:rPr>
          <w:rFonts w:ascii="Times New Roman" w:hAnsi="Times New Roman" w:cs="Times New Roman"/>
          <w:sz w:val="24"/>
          <w:szCs w:val="24"/>
        </w:rPr>
        <w:t xml:space="preserve"> March 2011</w:t>
      </w:r>
      <w:r w:rsidRPr="00055B7E">
        <w:rPr>
          <w:rFonts w:ascii="Times New Roman" w:hAnsi="Times New Roman" w:cs="Times New Roman"/>
          <w:sz w:val="24"/>
          <w:szCs w:val="24"/>
        </w:rPr>
        <w:t xml:space="preserve"> vol. 14, pp. 556-580 </w:t>
      </w:r>
      <w:r w:rsidRPr="00055B7E">
        <w:rPr>
          <w:rFonts w:ascii="Times New Roman" w:hAnsi="Times New Roman" w:cs="Times New Roman"/>
          <w:sz w:val="24"/>
          <w:szCs w:val="24"/>
        </w:rPr>
        <w:t xml:space="preserve">(page 565, note 32): ... </w:t>
      </w:r>
      <w:r w:rsidRPr="00055B7E">
        <w:rPr>
          <w:rFonts w:ascii="Times New Roman" w:hAnsi="Times New Roman" w:cs="Times New Roman"/>
          <w:i/>
          <w:iCs/>
          <w:sz w:val="24"/>
          <w:szCs w:val="24"/>
        </w:rPr>
        <w:t>Apostolicae Constitutiones</w:t>
      </w:r>
      <w:r w:rsidRPr="00055B7E">
        <w:rPr>
          <w:rFonts w:ascii="Times New Roman" w:hAnsi="Times New Roman" w:cs="Times New Roman"/>
          <w:sz w:val="24"/>
          <w:szCs w:val="24"/>
        </w:rPr>
        <w:t xml:space="preserve"> II 49,3 (292,12-294,19 M.), where Susanna, Naboth, Christ and Stephanus are all presented as victims of false accusations by false witnesses.</w:t>
      </w:r>
    </w:p>
    <w:p w14:paraId="1FBFD901" w14:textId="1DF4CB04" w:rsidR="00700C22" w:rsidRPr="00055B7E" w:rsidRDefault="00700C22" w:rsidP="007D5137">
      <w:pPr>
        <w:pStyle w:val="EndnoteText"/>
        <w:rPr>
          <w:rFonts w:ascii="Times New Roman" w:hAnsi="Times New Roman" w:cs="Times New Roman"/>
          <w:sz w:val="24"/>
          <w:szCs w:val="24"/>
        </w:rPr>
      </w:pPr>
    </w:p>
    <w:p w14:paraId="531D0F26" w14:textId="629EB7AE" w:rsidR="00700C22" w:rsidRPr="00055B7E" w:rsidRDefault="00700C22" w:rsidP="007D5137">
      <w:pPr>
        <w:pStyle w:val="EndnoteText"/>
        <w:rPr>
          <w:rFonts w:ascii="Times New Roman" w:hAnsi="Times New Roman" w:cs="Times New Roman"/>
          <w:sz w:val="24"/>
          <w:szCs w:val="24"/>
        </w:rPr>
      </w:pPr>
      <w:r w:rsidRPr="00055B7E">
        <w:rPr>
          <w:rFonts w:ascii="Times New Roman" w:hAnsi="Times New Roman" w:cs="Times New Roman"/>
          <w:sz w:val="24"/>
          <w:szCs w:val="24"/>
        </w:rPr>
        <w:t>Cf. Ambrose,</w:t>
      </w:r>
      <w:r w:rsidR="006851AA" w:rsidRPr="00055B7E">
        <w:rPr>
          <w:rFonts w:ascii="Times New Roman" w:hAnsi="Times New Roman" w:cs="Times New Roman"/>
          <w:sz w:val="24"/>
          <w:szCs w:val="24"/>
        </w:rPr>
        <w:t xml:space="preserve"> </w:t>
      </w:r>
      <w:r w:rsidR="006851AA" w:rsidRPr="00055B7E">
        <w:rPr>
          <w:rFonts w:ascii="Times New Roman" w:hAnsi="Times New Roman" w:cs="Times New Roman"/>
          <w:i/>
          <w:iCs/>
          <w:sz w:val="24"/>
          <w:szCs w:val="24"/>
        </w:rPr>
        <w:t>De Nabuthe Jezraelita</w:t>
      </w:r>
      <w:r w:rsidRPr="00055B7E">
        <w:rPr>
          <w:rFonts w:ascii="Times New Roman" w:hAnsi="Times New Roman" w:cs="Times New Roman"/>
          <w:sz w:val="24"/>
          <w:szCs w:val="24"/>
        </w:rPr>
        <w:t xml:space="preserve"> 11.46 (PL 14:745): </w:t>
      </w:r>
      <w:r w:rsidRPr="00055B7E">
        <w:rPr>
          <w:rFonts w:ascii="Times New Roman" w:hAnsi="Times New Roman" w:cs="Times New Roman"/>
          <w:sz w:val="24"/>
          <w:szCs w:val="24"/>
          <w:shd w:val="clear" w:color="auto" w:fill="FFFFFF"/>
        </w:rPr>
        <w:t>46. </w:t>
      </w:r>
      <w:r w:rsidRPr="00055B7E">
        <w:rPr>
          <w:rStyle w:val="Emphasis"/>
          <w:rFonts w:ascii="Times New Roman" w:hAnsi="Times New Roman" w:cs="Times New Roman"/>
          <w:sz w:val="24"/>
          <w:szCs w:val="24"/>
          <w:shd w:val="clear" w:color="auto" w:fill="FFFFFF"/>
        </w:rPr>
        <w:t>Deum,</w:t>
      </w:r>
      <w:r w:rsidRPr="00055B7E">
        <w:rPr>
          <w:rFonts w:ascii="Times New Roman" w:hAnsi="Times New Roman" w:cs="Times New Roman"/>
          <w:sz w:val="24"/>
          <w:szCs w:val="24"/>
          <w:shd w:val="clear" w:color="auto" w:fill="FFFFFF"/>
        </w:rPr>
        <w:t> inquit, </w:t>
      </w:r>
      <w:r w:rsidRPr="00055B7E">
        <w:rPr>
          <w:rStyle w:val="Emphasis"/>
          <w:rFonts w:ascii="Times New Roman" w:hAnsi="Times New Roman" w:cs="Times New Roman"/>
          <w:sz w:val="24"/>
          <w:szCs w:val="24"/>
          <w:shd w:val="clear" w:color="auto" w:fill="FFFFFF"/>
        </w:rPr>
        <w:t>benedixit et regem</w:t>
      </w:r>
      <w:r w:rsidRPr="00055B7E">
        <w:rPr>
          <w:rFonts w:ascii="Times New Roman" w:hAnsi="Times New Roman" w:cs="Times New Roman"/>
          <w:sz w:val="24"/>
          <w:szCs w:val="24"/>
          <w:shd w:val="clear" w:color="auto" w:fill="FFFFFF"/>
        </w:rPr>
        <w:t> </w:t>
      </w:r>
      <w:r w:rsidRPr="00055B7E">
        <w:rPr>
          <w:rStyle w:val="Strong"/>
          <w:rFonts w:ascii="Times New Roman" w:hAnsi="Times New Roman" w:cs="Times New Roman"/>
          <w:b w:val="0"/>
          <w:bCs w:val="0"/>
          <w:sz w:val="24"/>
          <w:szCs w:val="24"/>
          <w:shd w:val="clear" w:color="auto" w:fill="FFFFFF"/>
        </w:rPr>
        <w:t>(III Reg. XXI, 10)</w:t>
      </w:r>
      <w:r w:rsidRPr="00055B7E">
        <w:rPr>
          <w:rFonts w:ascii="Times New Roman" w:hAnsi="Times New Roman" w:cs="Times New Roman"/>
          <w:b/>
          <w:bCs/>
          <w:sz w:val="24"/>
          <w:szCs w:val="24"/>
          <w:shd w:val="clear" w:color="auto" w:fill="FFFFFF"/>
        </w:rPr>
        <w:t>,</w:t>
      </w:r>
      <w:r w:rsidRPr="00055B7E">
        <w:rPr>
          <w:rFonts w:ascii="Times New Roman" w:hAnsi="Times New Roman" w:cs="Times New Roman"/>
          <w:sz w:val="24"/>
          <w:szCs w:val="24"/>
          <w:shd w:val="clear" w:color="auto" w:fill="FFFFFF"/>
        </w:rPr>
        <w:t xml:space="preserve"> aequalis videlicet persona, ut sit aequalis contumelia. </w:t>
      </w:r>
      <w:r w:rsidRPr="00055B7E">
        <w:rPr>
          <w:rStyle w:val="Emphasis"/>
          <w:rFonts w:ascii="Times New Roman" w:hAnsi="Times New Roman" w:cs="Times New Roman"/>
          <w:sz w:val="24"/>
          <w:szCs w:val="24"/>
          <w:shd w:val="clear" w:color="auto" w:fill="FFFFFF"/>
        </w:rPr>
        <w:t>Benedixit,</w:t>
      </w:r>
      <w:r w:rsidRPr="00055B7E">
        <w:rPr>
          <w:rFonts w:ascii="Times New Roman" w:hAnsi="Times New Roman" w:cs="Times New Roman"/>
          <w:sz w:val="24"/>
          <w:szCs w:val="24"/>
          <w:shd w:val="clear" w:color="auto" w:fill="FFFFFF"/>
        </w:rPr>
        <w:t> inquit, </w:t>
      </w:r>
      <w:r w:rsidRPr="00055B7E">
        <w:rPr>
          <w:rStyle w:val="Emphasis"/>
          <w:rFonts w:ascii="Times New Roman" w:hAnsi="Times New Roman" w:cs="Times New Roman"/>
          <w:sz w:val="24"/>
          <w:szCs w:val="24"/>
          <w:shd w:val="clear" w:color="auto" w:fill="FFFFFF"/>
        </w:rPr>
        <w:t>Deum et regem.</w:t>
      </w:r>
      <w:r w:rsidRPr="00055B7E">
        <w:rPr>
          <w:rFonts w:ascii="Times New Roman" w:hAnsi="Times New Roman" w:cs="Times New Roman"/>
          <w:sz w:val="24"/>
          <w:szCs w:val="24"/>
          <w:shd w:val="clear" w:color="auto" w:fill="FFFFFF"/>
        </w:rPr>
        <w:t> Ne </w:t>
      </w:r>
      <w:r w:rsidRPr="00055B7E">
        <w:rPr>
          <w:rStyle w:val="Strong"/>
          <w:rFonts w:ascii="Times New Roman" w:hAnsi="Times New Roman" w:cs="Times New Roman"/>
          <w:b w:val="0"/>
          <w:bCs w:val="0"/>
          <w:sz w:val="24"/>
          <w:szCs w:val="24"/>
          <w:shd w:val="clear" w:color="auto" w:fill="FFFFFF"/>
        </w:rPr>
        <w:t>[Col.0745B]</w:t>
      </w:r>
      <w:r w:rsidRPr="00055B7E">
        <w:rPr>
          <w:rStyle w:val="Strong"/>
          <w:rFonts w:ascii="Times New Roman" w:hAnsi="Times New Roman" w:cs="Times New Roman"/>
          <w:sz w:val="24"/>
          <w:szCs w:val="24"/>
          <w:shd w:val="clear" w:color="auto" w:fill="FFFFFF"/>
        </w:rPr>
        <w:t> </w:t>
      </w:r>
      <w:r w:rsidRPr="00055B7E">
        <w:rPr>
          <w:rFonts w:ascii="Times New Roman" w:hAnsi="Times New Roman" w:cs="Times New Roman"/>
          <w:sz w:val="24"/>
          <w:szCs w:val="24"/>
          <w:shd w:val="clear" w:color="auto" w:fill="FFFFFF"/>
        </w:rPr>
        <w:t>divitem maledicti nomen offendat, et sermonis ipso laedatur sono, benedictio pro maledicto vocatur. Quaeruntur duo testes iniquitatis. Duobus testibus et Susanna est appetita: duos testes et Synagoga invenit, qui adversum Christum falsa jactarent: duobus testibus pauper occiditur. </w:t>
      </w:r>
      <w:r w:rsidRPr="00055B7E">
        <w:rPr>
          <w:rStyle w:val="Emphasis"/>
          <w:rFonts w:ascii="Times New Roman" w:hAnsi="Times New Roman" w:cs="Times New Roman"/>
          <w:sz w:val="24"/>
          <w:szCs w:val="24"/>
          <w:shd w:val="clear" w:color="auto" w:fill="FFFFFF"/>
        </w:rPr>
        <w:t>Produxerunt igitur Nabuthe foras, et lapidaverunt eum</w:t>
      </w:r>
      <w:r w:rsidRPr="00055B7E">
        <w:rPr>
          <w:rFonts w:ascii="Times New Roman" w:hAnsi="Times New Roman" w:cs="Times New Roman"/>
          <w:sz w:val="24"/>
          <w:szCs w:val="24"/>
          <w:shd w:val="clear" w:color="auto" w:fill="FFFFFF"/>
        </w:rPr>
        <w:t> </w:t>
      </w:r>
      <w:r w:rsidRPr="00055B7E">
        <w:rPr>
          <w:rStyle w:val="Strong"/>
          <w:rFonts w:ascii="Times New Roman" w:hAnsi="Times New Roman" w:cs="Times New Roman"/>
          <w:b w:val="0"/>
          <w:bCs w:val="0"/>
          <w:sz w:val="24"/>
          <w:szCs w:val="24"/>
          <w:shd w:val="clear" w:color="auto" w:fill="FFFFFF"/>
        </w:rPr>
        <w:t>(Ibid., 13)</w:t>
      </w:r>
      <w:r w:rsidRPr="00055B7E">
        <w:rPr>
          <w:rFonts w:ascii="Times New Roman" w:hAnsi="Times New Roman" w:cs="Times New Roman"/>
          <w:sz w:val="24"/>
          <w:szCs w:val="24"/>
          <w:shd w:val="clear" w:color="auto" w:fill="FFFFFF"/>
        </w:rPr>
        <w:t>. Utinam vel in suis ei liceret mori! Pauperi ipsam dives invidet sepulturam.</w:t>
      </w:r>
    </w:p>
    <w:p w14:paraId="25CEC167" w14:textId="07DE5C85" w:rsidR="00700C22" w:rsidRPr="00055B7E" w:rsidRDefault="00700C22" w:rsidP="007D5137">
      <w:pPr>
        <w:pStyle w:val="EndnoteText"/>
        <w:rPr>
          <w:rFonts w:ascii="Times New Roman" w:hAnsi="Times New Roman" w:cs="Times New Roman"/>
          <w:sz w:val="24"/>
          <w:szCs w:val="24"/>
        </w:rPr>
      </w:pPr>
    </w:p>
    <w:p w14:paraId="78901475" w14:textId="0E2733BE" w:rsidR="00700C22" w:rsidRPr="00055B7E" w:rsidRDefault="00700C22" w:rsidP="007D5137">
      <w:pPr>
        <w:pStyle w:val="EndnoteText"/>
        <w:rPr>
          <w:rFonts w:ascii="Times New Roman" w:hAnsi="Times New Roman" w:cs="Times New Roman"/>
          <w:sz w:val="24"/>
          <w:szCs w:val="24"/>
        </w:rPr>
      </w:pPr>
      <w:r w:rsidRPr="00055B7E">
        <w:rPr>
          <w:rFonts w:ascii="Times New Roman" w:hAnsi="Times New Roman" w:cs="Times New Roman"/>
          <w:sz w:val="24"/>
          <w:szCs w:val="24"/>
        </w:rPr>
        <w:t xml:space="preserve">Cf. Giancarlo Pani, SJ, “The Tyrannical King and Poor Naboth: A never-ending story,” in </w:t>
      </w:r>
      <w:r w:rsidRPr="00055B7E">
        <w:rPr>
          <w:rFonts w:ascii="Times New Roman" w:hAnsi="Times New Roman" w:cs="Times New Roman"/>
          <w:i/>
          <w:iCs/>
          <w:sz w:val="24"/>
          <w:szCs w:val="24"/>
        </w:rPr>
        <w:t>Church Thought</w:t>
      </w:r>
      <w:r w:rsidRPr="00055B7E">
        <w:rPr>
          <w:rFonts w:ascii="Times New Roman" w:hAnsi="Times New Roman" w:cs="Times New Roman"/>
          <w:sz w:val="24"/>
          <w:szCs w:val="24"/>
        </w:rPr>
        <w:t xml:space="preserve"> 8 November 2018</w:t>
      </w:r>
    </w:p>
    <w:p w14:paraId="10F8B53A" w14:textId="4715D342" w:rsidR="00700C22" w:rsidRPr="00055B7E" w:rsidRDefault="00700C22" w:rsidP="007D5137">
      <w:pPr>
        <w:pStyle w:val="EndnoteText"/>
        <w:rPr>
          <w:rFonts w:ascii="Times New Roman" w:hAnsi="Times New Roman" w:cs="Times New Roman"/>
          <w:sz w:val="24"/>
          <w:szCs w:val="24"/>
        </w:rPr>
      </w:pPr>
      <w:hyperlink r:id="rId1" w:history="1">
        <w:r w:rsidRPr="00055B7E">
          <w:rPr>
            <w:rStyle w:val="Hyperlink"/>
            <w:rFonts w:ascii="Times New Roman" w:hAnsi="Times New Roman" w:cs="Times New Roman"/>
            <w:sz w:val="24"/>
            <w:szCs w:val="24"/>
          </w:rPr>
          <w:t>The Tyrannical King and Poor Naboth | LA CIVILTÀ CATTOLICA (laciviltacattolica.com)</w:t>
        </w:r>
      </w:hyperlink>
    </w:p>
    <w:p w14:paraId="2B5656F5" w14:textId="2A52AF86" w:rsidR="00055B7E" w:rsidRPr="00055B7E" w:rsidRDefault="00055B7E" w:rsidP="007D5137">
      <w:pPr>
        <w:pStyle w:val="EndnoteText"/>
        <w:rPr>
          <w:rFonts w:ascii="Times New Roman" w:hAnsi="Times New Roman" w:cs="Times New Roman"/>
          <w:sz w:val="24"/>
          <w:szCs w:val="24"/>
        </w:rPr>
      </w:pPr>
    </w:p>
    <w:p w14:paraId="5EB31257" w14:textId="782877E2" w:rsidR="00700C22" w:rsidRPr="00055B7E" w:rsidRDefault="00700C22">
      <w:pPr>
        <w:pStyle w:val="EndnoteText"/>
        <w:rPr>
          <w:rFonts w:ascii="Times New Roman" w:hAnsi="Times New Roman" w:cs="Times New Roman"/>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0E3940" w14:textId="77777777" w:rsidR="00700C22" w:rsidRDefault="00700C22" w:rsidP="007D5137">
      <w:pPr>
        <w:spacing w:after="0" w:line="240" w:lineRule="auto"/>
      </w:pPr>
      <w:r>
        <w:separator/>
      </w:r>
    </w:p>
  </w:footnote>
  <w:footnote w:type="continuationSeparator" w:id="0">
    <w:p w14:paraId="4E865C0F" w14:textId="77777777" w:rsidR="00700C22" w:rsidRDefault="00700C22" w:rsidP="007D51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oofState w:grammar="clean"/>
  <w:defaultTabStop w:val="720"/>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765"/>
    <w:rsid w:val="00055B7E"/>
    <w:rsid w:val="001F2221"/>
    <w:rsid w:val="00221F8D"/>
    <w:rsid w:val="002A3489"/>
    <w:rsid w:val="002C3468"/>
    <w:rsid w:val="002C6919"/>
    <w:rsid w:val="003B64BB"/>
    <w:rsid w:val="0048586B"/>
    <w:rsid w:val="005365E9"/>
    <w:rsid w:val="00576AE4"/>
    <w:rsid w:val="006851AA"/>
    <w:rsid w:val="006C5B11"/>
    <w:rsid w:val="006C7D2C"/>
    <w:rsid w:val="00700C22"/>
    <w:rsid w:val="007D5137"/>
    <w:rsid w:val="00853C6D"/>
    <w:rsid w:val="00966765"/>
    <w:rsid w:val="00AF5056"/>
    <w:rsid w:val="00D653EB"/>
    <w:rsid w:val="00D914D4"/>
    <w:rsid w:val="00DC2BE9"/>
    <w:rsid w:val="00E31E73"/>
    <w:rsid w:val="00FD5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7C198"/>
  <w15:chartTrackingRefBased/>
  <w15:docId w15:val="{5CBF9692-CFD4-4487-B233-A2FD5A0BF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Theme="minorHAnsi" w:hAnsi="Courier New" w:cs="Courier New"/>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4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7D513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D5137"/>
    <w:rPr>
      <w:sz w:val="20"/>
      <w:szCs w:val="20"/>
    </w:rPr>
  </w:style>
  <w:style w:type="character" w:styleId="EndnoteReference">
    <w:name w:val="endnote reference"/>
    <w:basedOn w:val="DefaultParagraphFont"/>
    <w:uiPriority w:val="99"/>
    <w:semiHidden/>
    <w:unhideWhenUsed/>
    <w:rsid w:val="007D5137"/>
    <w:rPr>
      <w:vertAlign w:val="superscript"/>
    </w:rPr>
  </w:style>
  <w:style w:type="character" w:styleId="Hyperlink">
    <w:name w:val="Hyperlink"/>
    <w:basedOn w:val="DefaultParagraphFont"/>
    <w:uiPriority w:val="99"/>
    <w:semiHidden/>
    <w:unhideWhenUsed/>
    <w:rsid w:val="00576AE4"/>
    <w:rPr>
      <w:color w:val="0000FF"/>
      <w:u w:val="single"/>
    </w:rPr>
  </w:style>
  <w:style w:type="character" w:styleId="Emphasis">
    <w:name w:val="Emphasis"/>
    <w:basedOn w:val="DefaultParagraphFont"/>
    <w:uiPriority w:val="20"/>
    <w:qFormat/>
    <w:rsid w:val="00700C22"/>
    <w:rPr>
      <w:i/>
      <w:iCs/>
    </w:rPr>
  </w:style>
  <w:style w:type="character" w:styleId="Strong">
    <w:name w:val="Strong"/>
    <w:basedOn w:val="DefaultParagraphFont"/>
    <w:uiPriority w:val="22"/>
    <w:qFormat/>
    <w:rsid w:val="00700C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 Id="rId1" Type="http://schemas.openxmlformats.org/officeDocument/2006/relationships/hyperlink" Target="https://www.laciviltacattolica.com/the-tyrannical-king-and-poor-naboth-a-never-ending-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371DDDB-83F0-4EC3-81F4-10074E80B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248</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Eugene Crook</cp:lastModifiedBy>
  <cp:revision>5</cp:revision>
  <dcterms:created xsi:type="dcterms:W3CDTF">2021-02-01T19:11:00Z</dcterms:created>
  <dcterms:modified xsi:type="dcterms:W3CDTF">2021-02-01T20:30:00Z</dcterms:modified>
</cp:coreProperties>
</file>