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0FB40" w14:textId="250F565B" w:rsidR="00B9284F" w:rsidRPr="00274CE1" w:rsidRDefault="00F76B75" w:rsidP="00F76B75">
      <w:pPr>
        <w:spacing w:line="480" w:lineRule="auto"/>
        <w:rPr>
          <w:rFonts w:cs="Times New Roman"/>
        </w:rPr>
      </w:pPr>
      <w:r w:rsidRPr="00274CE1">
        <w:rPr>
          <w:rFonts w:cs="Times New Roman"/>
        </w:rPr>
        <w:t>355 Tent</w:t>
      </w:r>
      <w:r w:rsidR="003B73F0" w:rsidRPr="00274CE1">
        <w:rPr>
          <w:rFonts w:cs="Times New Roman"/>
        </w:rPr>
        <w:t xml:space="preserve"> (</w:t>
      </w:r>
      <w:r w:rsidR="003B73F0" w:rsidRPr="00274CE1">
        <w:rPr>
          <w:rFonts w:cs="Times New Roman"/>
          <w:i/>
          <w:iCs/>
        </w:rPr>
        <w:t>Tabernaculum</w:t>
      </w:r>
      <w:r w:rsidR="003B73F0" w:rsidRPr="00274CE1">
        <w:rPr>
          <w:rFonts w:cs="Times New Roman"/>
        </w:rPr>
        <w:t>)</w:t>
      </w:r>
    </w:p>
    <w:p w14:paraId="7103B704" w14:textId="2F202DC7" w:rsidR="00F76B75" w:rsidRPr="00274CE1" w:rsidRDefault="00F76B75" w:rsidP="00F76B75">
      <w:pPr>
        <w:spacing w:line="480" w:lineRule="auto"/>
        <w:rPr>
          <w:rFonts w:cs="Times New Roman"/>
        </w:rPr>
      </w:pPr>
      <w:r w:rsidRPr="00274CE1">
        <w:rPr>
          <w:rFonts w:cs="Times New Roman"/>
        </w:rPr>
        <w:t>We read about a certain material and historical tent which was made under Moses.</w:t>
      </w:r>
      <w:r w:rsidR="00E22502" w:rsidRPr="00274CE1">
        <w:rPr>
          <w:rStyle w:val="EndnoteReference"/>
          <w:rFonts w:cs="Times New Roman"/>
        </w:rPr>
        <w:endnoteReference w:id="1"/>
      </w:r>
      <w:r w:rsidRPr="00274CE1">
        <w:rPr>
          <w:rFonts w:cs="Times New Roman"/>
        </w:rPr>
        <w:t xml:space="preserve"> Concerning a certain allegorical tent, namely, concerning the Church militant. Concerning a certain tropological tent, namely, concerning the </w:t>
      </w:r>
      <w:r w:rsidR="009527C6" w:rsidRPr="00274CE1">
        <w:rPr>
          <w:rFonts w:cs="Times New Roman"/>
        </w:rPr>
        <w:t>sojourning</w:t>
      </w:r>
      <w:r w:rsidRPr="00274CE1">
        <w:rPr>
          <w:rFonts w:cs="Times New Roman"/>
        </w:rPr>
        <w:t xml:space="preserve"> soul. Concerning a certain </w:t>
      </w:r>
      <w:r w:rsidR="009527C6" w:rsidRPr="00274CE1">
        <w:rPr>
          <w:rFonts w:cs="Times New Roman"/>
        </w:rPr>
        <w:t>anagogical</w:t>
      </w:r>
      <w:r w:rsidRPr="00274CE1">
        <w:rPr>
          <w:rFonts w:cs="Times New Roman"/>
        </w:rPr>
        <w:t xml:space="preserve"> tent, namely, concerning the Church triumphant.</w:t>
      </w:r>
    </w:p>
    <w:p w14:paraId="3690FC74" w14:textId="288438C4" w:rsidR="00F76B75" w:rsidRPr="00274CE1" w:rsidRDefault="00F76B75" w:rsidP="00F76B75">
      <w:pPr>
        <w:spacing w:line="480" w:lineRule="auto"/>
        <w:rPr>
          <w:rFonts w:cs="Times New Roman"/>
        </w:rPr>
      </w:pPr>
      <w:r w:rsidRPr="00274CE1">
        <w:rPr>
          <w:rFonts w:cs="Times New Roman"/>
        </w:rPr>
        <w:t>The first tent, namely, of Moses, according to Isidore</w:t>
      </w:r>
      <w:r w:rsidR="009976F1" w:rsidRPr="00274CE1">
        <w:rPr>
          <w:rStyle w:val="EndnoteReference"/>
          <w:rFonts w:cs="Times New Roman"/>
        </w:rPr>
        <w:endnoteReference w:id="2"/>
      </w:r>
      <w:r w:rsidRPr="00274CE1">
        <w:rPr>
          <w:rFonts w:cs="Times New Roman"/>
        </w:rPr>
        <w:t xml:space="preserve"> and Hugh</w:t>
      </w:r>
      <w:r w:rsidR="00423005" w:rsidRPr="00274CE1">
        <w:rPr>
          <w:rFonts w:cs="Times New Roman"/>
        </w:rPr>
        <w:t>,</w:t>
      </w:r>
      <w:r w:rsidR="009976F1" w:rsidRPr="00274CE1">
        <w:rPr>
          <w:rStyle w:val="EndnoteReference"/>
          <w:rFonts w:cs="Times New Roman"/>
        </w:rPr>
        <w:endnoteReference w:id="3"/>
      </w:r>
      <w:r w:rsidR="00423005" w:rsidRPr="00274CE1">
        <w:rPr>
          <w:rFonts w:cs="Times New Roman"/>
        </w:rPr>
        <w:t xml:space="preserve"> the tent was portable from place to place. Or the house consecrated to God was square and oblong closed in by three walls, namely, northern, southern, and western. </w:t>
      </w:r>
      <w:r w:rsidR="00D55E8A" w:rsidRPr="00274CE1">
        <w:rPr>
          <w:rFonts w:cs="Times New Roman"/>
        </w:rPr>
        <w:t>At</w:t>
      </w:r>
      <w:r w:rsidR="00423005" w:rsidRPr="00274CE1">
        <w:rPr>
          <w:rFonts w:cs="Times New Roman"/>
        </w:rPr>
        <w:t xml:space="preserve"> the eastern </w:t>
      </w:r>
      <w:r w:rsidR="00735D2F" w:rsidRPr="00274CE1">
        <w:rPr>
          <w:rFonts w:cs="Times New Roman"/>
        </w:rPr>
        <w:t xml:space="preserve">side </w:t>
      </w:r>
      <w:r w:rsidR="00423005" w:rsidRPr="00274CE1">
        <w:rPr>
          <w:rFonts w:cs="Times New Roman"/>
        </w:rPr>
        <w:t>in truth free and open to entry, as thus only from the east can</w:t>
      </w:r>
      <w:r w:rsidR="00D55E8A" w:rsidRPr="00274CE1">
        <w:rPr>
          <w:rFonts w:cs="Times New Roman"/>
        </w:rPr>
        <w:t xml:space="preserve"> it</w:t>
      </w:r>
      <w:r w:rsidR="00423005" w:rsidRPr="00274CE1">
        <w:rPr>
          <w:rFonts w:cs="Times New Roman"/>
        </w:rPr>
        <w:t xml:space="preserve"> be illuminated. </w:t>
      </w:r>
      <w:r w:rsidR="00965470" w:rsidRPr="00274CE1">
        <w:rPr>
          <w:rFonts w:cs="Times New Roman"/>
        </w:rPr>
        <w:t>Also,</w:t>
      </w:r>
      <w:r w:rsidR="00FF6E02" w:rsidRPr="00274CE1">
        <w:rPr>
          <w:rFonts w:cs="Times New Roman"/>
        </w:rPr>
        <w:t xml:space="preserve"> it was separated in two parts. Because to the west it extends ten cubits, which part was entirely square in length, breadth, and </w:t>
      </w:r>
      <w:r w:rsidR="009527C6" w:rsidRPr="00274CE1">
        <w:rPr>
          <w:rFonts w:cs="Times New Roman"/>
        </w:rPr>
        <w:t>height</w:t>
      </w:r>
      <w:r w:rsidR="00FF6E02" w:rsidRPr="00274CE1">
        <w:rPr>
          <w:rFonts w:cs="Times New Roman"/>
        </w:rPr>
        <w:t xml:space="preserve">, which part is called </w:t>
      </w:r>
      <w:r w:rsidR="00D55E8A" w:rsidRPr="00274CE1">
        <w:rPr>
          <w:rFonts w:cs="Times New Roman"/>
        </w:rPr>
        <w:t>the</w:t>
      </w:r>
      <w:r w:rsidR="00FF6E02" w:rsidRPr="00274CE1">
        <w:rPr>
          <w:rFonts w:cs="Times New Roman"/>
        </w:rPr>
        <w:t xml:space="preserve"> sanctuary or holy of holies</w:t>
      </w:r>
      <w:r w:rsidR="00615D8A" w:rsidRPr="00274CE1">
        <w:rPr>
          <w:rFonts w:cs="Times New Roman"/>
        </w:rPr>
        <w:t>.</w:t>
      </w:r>
      <w:r w:rsidR="00FF6E02" w:rsidRPr="00274CE1">
        <w:rPr>
          <w:rFonts w:cs="Times New Roman"/>
        </w:rPr>
        <w:t xml:space="preserve"> </w:t>
      </w:r>
      <w:r w:rsidR="00615D8A" w:rsidRPr="00274CE1">
        <w:rPr>
          <w:rFonts w:cs="Times New Roman"/>
        </w:rPr>
        <w:t>I</w:t>
      </w:r>
      <w:r w:rsidR="00FF6E02" w:rsidRPr="00274CE1">
        <w:rPr>
          <w:rFonts w:cs="Times New Roman"/>
        </w:rPr>
        <w:t>n the forward part, that is, in the eastern part, there was a candelabrum</w:t>
      </w:r>
      <w:r w:rsidR="00615D8A" w:rsidRPr="00274CE1">
        <w:rPr>
          <w:rFonts w:cs="Times New Roman"/>
        </w:rPr>
        <w:t>, at the southern part a table, at the northern part in the middle a veil having before that was an altar of gold</w:t>
      </w:r>
      <w:r w:rsidR="00D55E8A" w:rsidRPr="00274CE1">
        <w:rPr>
          <w:rFonts w:cs="Times New Roman"/>
        </w:rPr>
        <w:t xml:space="preserve"> for this mobile tent. About which it is treated in Exod. 26.</w:t>
      </w:r>
    </w:p>
    <w:p w14:paraId="7331CC79" w14:textId="77777777" w:rsidR="00D55E8A" w:rsidRPr="00274CE1" w:rsidRDefault="00D55E8A" w:rsidP="00F76B75">
      <w:pPr>
        <w:spacing w:line="480" w:lineRule="auto"/>
        <w:rPr>
          <w:rFonts w:cs="Times New Roman"/>
        </w:rPr>
      </w:pPr>
      <w:r w:rsidRPr="00274CE1">
        <w:rPr>
          <w:rFonts w:cs="Times New Roman"/>
        </w:rPr>
        <w:t xml:space="preserve">And next the children of Israel used this through the desert </w:t>
      </w:r>
      <w:r w:rsidR="009527C6" w:rsidRPr="00274CE1">
        <w:rPr>
          <w:rFonts w:cs="Times New Roman"/>
        </w:rPr>
        <w:t>up to</w:t>
      </w:r>
      <w:r w:rsidRPr="00274CE1">
        <w:rPr>
          <w:rFonts w:cs="Times New Roman"/>
        </w:rPr>
        <w:t xml:space="preserve"> the time of Solomon when the fixed and stable temple was made. It designates the status of the penitent, but by the temple the status of future life</w:t>
      </w:r>
      <w:r w:rsidR="000911E8" w:rsidRPr="00274CE1">
        <w:rPr>
          <w:rFonts w:cs="Times New Roman"/>
        </w:rPr>
        <w:t xml:space="preserve">. Nothing even in the first tent designated the Church militant which transferred into heaven and the </w:t>
      </w:r>
      <w:r w:rsidR="009527C6" w:rsidRPr="00274CE1">
        <w:rPr>
          <w:rFonts w:cs="Times New Roman"/>
        </w:rPr>
        <w:t>triumphant</w:t>
      </w:r>
      <w:r w:rsidR="000911E8" w:rsidRPr="00274CE1">
        <w:rPr>
          <w:rFonts w:cs="Times New Roman"/>
        </w:rPr>
        <w:t xml:space="preserve">. </w:t>
      </w:r>
      <w:r w:rsidR="00965470" w:rsidRPr="00274CE1">
        <w:rPr>
          <w:rFonts w:cs="Times New Roman"/>
        </w:rPr>
        <w:t>Thus,</w:t>
      </w:r>
      <w:r w:rsidR="000911E8" w:rsidRPr="00274CE1">
        <w:rPr>
          <w:rFonts w:cs="Times New Roman"/>
        </w:rPr>
        <w:t xml:space="preserve"> we ought in the present life live in this tabernacle and flee to it until the king of peace reigns over us in the </w:t>
      </w:r>
      <w:r w:rsidR="009527C6" w:rsidRPr="00274CE1">
        <w:rPr>
          <w:rFonts w:cs="Times New Roman"/>
        </w:rPr>
        <w:t>kingdom</w:t>
      </w:r>
      <w:r w:rsidR="000911E8" w:rsidRPr="00274CE1">
        <w:rPr>
          <w:rFonts w:cs="Times New Roman"/>
        </w:rPr>
        <w:t xml:space="preserve"> of heaven.</w:t>
      </w:r>
    </w:p>
    <w:p w14:paraId="587E3218" w14:textId="77777777" w:rsidR="00D55E8A" w:rsidRPr="00274CE1" w:rsidRDefault="000911E8" w:rsidP="00F76B75">
      <w:pPr>
        <w:spacing w:line="480" w:lineRule="auto"/>
        <w:rPr>
          <w:rFonts w:cs="Times New Roman"/>
        </w:rPr>
      </w:pPr>
      <w:r w:rsidRPr="00274CE1">
        <w:rPr>
          <w:rFonts w:cs="Times New Roman"/>
        </w:rPr>
        <w:t xml:space="preserve">¶ Concerning this tabernacle the Apostle says in Heb. 9[:2]: </w:t>
      </w:r>
      <w:r w:rsidR="005F37E4" w:rsidRPr="00274CE1">
        <w:rPr>
          <w:rFonts w:cs="Times New Roman"/>
        </w:rPr>
        <w:t>“</w:t>
      </w:r>
      <w:r w:rsidRPr="00274CE1">
        <w:rPr>
          <w:rFonts w:cs="Times New Roman"/>
        </w:rPr>
        <w:t>A tabernacle was made, wherein were the candlesticks, and the table, and the setting forth of loaves, which is called the holy.</w:t>
      </w:r>
      <w:r w:rsidR="005F37E4" w:rsidRPr="00274CE1">
        <w:rPr>
          <w:rFonts w:cs="Times New Roman"/>
        </w:rPr>
        <w:t xml:space="preserve">” After the veil or covering, after which, the second tabernacle which is called the holy of holies. </w:t>
      </w:r>
      <w:r w:rsidR="00965470" w:rsidRPr="00274CE1">
        <w:rPr>
          <w:rFonts w:cs="Times New Roman"/>
        </w:rPr>
        <w:lastRenderedPageBreak/>
        <w:t>So,</w:t>
      </w:r>
      <w:r w:rsidR="005F37E4" w:rsidRPr="00274CE1">
        <w:rPr>
          <w:rFonts w:cs="Times New Roman"/>
        </w:rPr>
        <w:t xml:space="preserve"> in the Church militant are candelabra for illuminating the table for supporting the loaves to be restored.</w:t>
      </w:r>
    </w:p>
    <w:p w14:paraId="7C54B189" w14:textId="77777777" w:rsidR="005F37E4" w:rsidRPr="00274CE1" w:rsidRDefault="005F37E4" w:rsidP="00F76B75">
      <w:pPr>
        <w:spacing w:line="480" w:lineRule="auto"/>
        <w:rPr>
          <w:rFonts w:cs="Times New Roman"/>
        </w:rPr>
      </w:pPr>
      <w:r w:rsidRPr="00274CE1">
        <w:rPr>
          <w:rFonts w:cs="Times New Roman"/>
        </w:rPr>
        <w:t xml:space="preserve">In the second tabernacle was the arc of the covenant which certainly was “a tabernacle for a shade in the daytime from the heat, and for a security and covert from the whirlwind, and from rain,” Isai. 4[:6]. </w:t>
      </w:r>
      <w:r w:rsidR="00C35D8D" w:rsidRPr="00274CE1">
        <w:rPr>
          <w:rFonts w:cs="Times New Roman"/>
        </w:rPr>
        <w:t xml:space="preserve">For just as in cathedral churches are images which are outside the church and </w:t>
      </w:r>
      <w:r w:rsidR="00965470" w:rsidRPr="00274CE1">
        <w:rPr>
          <w:rFonts w:cs="Times New Roman"/>
        </w:rPr>
        <w:t>frequently,</w:t>
      </w:r>
      <w:r w:rsidR="00C35D8D" w:rsidRPr="00274CE1">
        <w:rPr>
          <w:rFonts w:cs="Times New Roman"/>
        </w:rPr>
        <w:t xml:space="preserve"> they are disfigured by the storms.</w:t>
      </w:r>
    </w:p>
    <w:p w14:paraId="582BC769" w14:textId="0785A859" w:rsidR="002B0873" w:rsidRPr="00274CE1" w:rsidRDefault="00C35D8D" w:rsidP="00AC6E1B">
      <w:pPr>
        <w:spacing w:line="480" w:lineRule="auto"/>
        <w:rPr>
          <w:rFonts w:cs="Times New Roman"/>
        </w:rPr>
      </w:pPr>
      <w:r w:rsidRPr="00274CE1">
        <w:rPr>
          <w:rFonts w:cs="Times New Roman"/>
        </w:rPr>
        <w:t>¶</w:t>
      </w:r>
      <w:r w:rsidR="001A49DB" w:rsidRPr="00274CE1">
        <w:rPr>
          <w:rFonts w:cs="Times New Roman"/>
        </w:rPr>
        <w:t xml:space="preserve"> For what things are inside the tent of the world are guarded, so those who are outside the merits of the Church are conquered by temptations than those who are inside are preserved, Gen. 2</w:t>
      </w:r>
      <w:r w:rsidR="002B0873" w:rsidRPr="00274CE1">
        <w:rPr>
          <w:rFonts w:cs="Times New Roman"/>
        </w:rPr>
        <w:t>5</w:t>
      </w:r>
      <w:r w:rsidR="001A49DB" w:rsidRPr="00274CE1">
        <w:rPr>
          <w:rFonts w:cs="Times New Roman"/>
        </w:rPr>
        <w:t>[:27]: “Jacob was a plain man dwelling in tents.”</w:t>
      </w:r>
      <w:r w:rsidR="002B0873" w:rsidRPr="00274CE1">
        <w:rPr>
          <w:rFonts w:cs="Times New Roman"/>
        </w:rPr>
        <w:t xml:space="preserve"> </w:t>
      </w:r>
      <w:r w:rsidR="00965470" w:rsidRPr="00274CE1">
        <w:rPr>
          <w:rFonts w:cs="Times New Roman"/>
        </w:rPr>
        <w:t>Therefore,</w:t>
      </w:r>
      <w:r w:rsidR="002B0873" w:rsidRPr="00274CE1">
        <w:rPr>
          <w:rFonts w:cs="Times New Roman"/>
        </w:rPr>
        <w:t xml:space="preserve"> he received the paternal blessing which Esau lost who was a hunting man and an outdoorsman and a wanderer, Num. 24[:5]: “How beautiful are your tabernacles, O Jacob,” etc. But in </w:t>
      </w:r>
      <w:r w:rsidR="00965470" w:rsidRPr="00274CE1">
        <w:rPr>
          <w:rFonts w:cs="Times New Roman"/>
        </w:rPr>
        <w:t>Job 8</w:t>
      </w:r>
      <w:r w:rsidR="002B0873" w:rsidRPr="00274CE1">
        <w:rPr>
          <w:rFonts w:cs="Times New Roman"/>
        </w:rPr>
        <w:t xml:space="preserve">[:22] it is said, “The dwelling of the wicked shall not stand.” Because according to Gregory, book 8, </w:t>
      </w:r>
      <w:r w:rsidR="002B0873" w:rsidRPr="00274CE1">
        <w:rPr>
          <w:rFonts w:cs="Times New Roman"/>
          <w:i/>
        </w:rPr>
        <w:t>Moralia</w:t>
      </w:r>
      <w:r w:rsidR="002B0873" w:rsidRPr="00274CE1">
        <w:rPr>
          <w:rFonts w:cs="Times New Roman"/>
        </w:rPr>
        <w:t>,</w:t>
      </w:r>
      <w:r w:rsidR="009976F1" w:rsidRPr="00274CE1">
        <w:rPr>
          <w:rStyle w:val="EndnoteReference"/>
          <w:rFonts w:cs="Times New Roman"/>
        </w:rPr>
        <w:endnoteReference w:id="4"/>
      </w:r>
      <w:r w:rsidR="002B0873" w:rsidRPr="00274CE1">
        <w:rPr>
          <w:rFonts w:cs="Times New Roman"/>
        </w:rPr>
        <w:t xml:space="preserve"> </w:t>
      </w:r>
      <w:r w:rsidR="00AC6E1B" w:rsidRPr="00274CE1">
        <w:rPr>
          <w:rFonts w:cs="Times New Roman"/>
        </w:rPr>
        <w:t xml:space="preserve">the lovers of this fleeting life, while they studiously build for themselves in the present, </w:t>
      </w:r>
      <w:r w:rsidR="009527C6" w:rsidRPr="00274CE1">
        <w:rPr>
          <w:rFonts w:cs="Times New Roman"/>
        </w:rPr>
        <w:t>suddenly</w:t>
      </w:r>
      <w:r w:rsidR="00AC6E1B" w:rsidRPr="00274CE1">
        <w:rPr>
          <w:rFonts w:cs="Times New Roman"/>
        </w:rPr>
        <w:t xml:space="preserve"> they will be taken to eternal pain. Wherefore also rightly Peter was reprehended by Christ because not yet was he perfectly strengthened on earth to know how to make a tent</w:t>
      </w:r>
      <w:r w:rsidR="00A420F1" w:rsidRPr="00274CE1">
        <w:rPr>
          <w:rFonts w:cs="Times New Roman"/>
        </w:rPr>
        <w:t>, [Luke 9:33]</w:t>
      </w:r>
      <w:r w:rsidR="00AC6E1B" w:rsidRPr="00274CE1">
        <w:rPr>
          <w:rFonts w:cs="Times New Roman"/>
        </w:rPr>
        <w:t>.</w:t>
      </w:r>
    </w:p>
    <w:p w14:paraId="228DDDB0" w14:textId="625FFDAC" w:rsidR="00AC6E1B" w:rsidRPr="00274CE1" w:rsidRDefault="00AC6E1B" w:rsidP="00AC6E1B">
      <w:pPr>
        <w:spacing w:line="480" w:lineRule="auto"/>
        <w:rPr>
          <w:rFonts w:cs="Times New Roman"/>
        </w:rPr>
      </w:pPr>
      <w:r w:rsidRPr="00274CE1">
        <w:rPr>
          <w:rFonts w:cs="Times New Roman"/>
        </w:rPr>
        <w:t xml:space="preserve">¶ Concerning the second, and </w:t>
      </w:r>
      <w:r w:rsidR="009527C6" w:rsidRPr="00274CE1">
        <w:rPr>
          <w:rFonts w:cs="Times New Roman"/>
        </w:rPr>
        <w:t>meritoriously</w:t>
      </w:r>
      <w:r w:rsidRPr="00274CE1">
        <w:rPr>
          <w:rFonts w:cs="Times New Roman"/>
        </w:rPr>
        <w:t xml:space="preserve"> it is called a tabernacle, Apo. 21[:3]:</w:t>
      </w:r>
      <w:r w:rsidR="005D2234" w:rsidRPr="00274CE1">
        <w:rPr>
          <w:rFonts w:cs="Times New Roman"/>
        </w:rPr>
        <w:t xml:space="preserve"> “Behold the tabernacle of God with men, and he will dwell with them.” God made the human soul capable of divinity according to Augustine, 15 </w:t>
      </w:r>
      <w:r w:rsidR="005D2234" w:rsidRPr="00274CE1">
        <w:rPr>
          <w:rFonts w:cs="Times New Roman"/>
          <w:i/>
        </w:rPr>
        <w:t>De Trinitate</w:t>
      </w:r>
      <w:r w:rsidR="009976F1" w:rsidRPr="00274CE1">
        <w:rPr>
          <w:rFonts w:cs="Times New Roman"/>
          <w:iCs/>
        </w:rPr>
        <w:t>.</w:t>
      </w:r>
      <w:r w:rsidR="009976F1" w:rsidRPr="00274CE1">
        <w:rPr>
          <w:rStyle w:val="EndnoteReference"/>
          <w:rFonts w:cs="Times New Roman"/>
          <w:iCs/>
        </w:rPr>
        <w:endnoteReference w:id="5"/>
      </w:r>
      <w:r w:rsidR="005D2234" w:rsidRPr="00274CE1">
        <w:rPr>
          <w:rFonts w:cs="Times New Roman"/>
          <w:i/>
        </w:rPr>
        <w:t xml:space="preserve"> </w:t>
      </w:r>
      <w:r w:rsidR="005D2234" w:rsidRPr="00274CE1">
        <w:rPr>
          <w:rFonts w:cs="Times New Roman"/>
        </w:rPr>
        <w:t xml:space="preserve">That nothing other can fill it except God. Wherefore also </w:t>
      </w:r>
      <w:r w:rsidR="0098229F" w:rsidRPr="00274CE1">
        <w:rPr>
          <w:rFonts w:cs="Times New Roman"/>
        </w:rPr>
        <w:t>the human mind naturally prefers that state in which God dwells, Job 29[:2, 4]: “Who will grant me, that I might be according to the months past,” and it follows “When God was secretly in my tabernacle?” When the work was with me, Eccli. 24[:12]: “He that made me, rested in my tabernacle.”</w:t>
      </w:r>
    </w:p>
    <w:p w14:paraId="377E7AE9" w14:textId="77777777" w:rsidR="00C77960" w:rsidRPr="00274CE1" w:rsidRDefault="0098229F" w:rsidP="00AC6E1B">
      <w:pPr>
        <w:spacing w:line="480" w:lineRule="auto"/>
        <w:rPr>
          <w:rFonts w:cs="Times New Roman"/>
        </w:rPr>
      </w:pPr>
      <w:r w:rsidRPr="00274CE1">
        <w:rPr>
          <w:rFonts w:cs="Times New Roman"/>
        </w:rPr>
        <w:t>¶ And it is to be known that a tent is called the place of soldiers, pilgrims, and watchmen.</w:t>
      </w:r>
      <w:r w:rsidR="00C77960" w:rsidRPr="00274CE1">
        <w:rPr>
          <w:rFonts w:cs="Times New Roman"/>
        </w:rPr>
        <w:t xml:space="preserve"> Wherefore also in tents dwell soldiers, </w:t>
      </w:r>
      <w:r w:rsidR="009527C6" w:rsidRPr="00274CE1">
        <w:rPr>
          <w:rFonts w:cs="Times New Roman"/>
        </w:rPr>
        <w:t>travelers</w:t>
      </w:r>
      <w:r w:rsidR="00C77960" w:rsidRPr="00274CE1">
        <w:rPr>
          <w:rFonts w:cs="Times New Roman"/>
        </w:rPr>
        <w:t>, and shepherds, so the Church is served in good ways by the laity and secular persons, it goes on pilgrimage in good ways with clerics and religious, and it watches in good ways with pastors and prelates.</w:t>
      </w:r>
    </w:p>
    <w:p w14:paraId="0A3E0B8C" w14:textId="77777777" w:rsidR="00C77960" w:rsidRPr="00274CE1" w:rsidRDefault="00C77960" w:rsidP="00AC6E1B">
      <w:pPr>
        <w:spacing w:line="480" w:lineRule="auto"/>
        <w:rPr>
          <w:rFonts w:cs="Times New Roman"/>
        </w:rPr>
      </w:pPr>
      <w:r w:rsidRPr="00274CE1">
        <w:rPr>
          <w:rFonts w:cs="Times New Roman"/>
        </w:rPr>
        <w:t xml:space="preserve">Concerning the first, Can. 1[:4]: </w:t>
      </w:r>
      <w:r w:rsidR="00A728DB" w:rsidRPr="00274CE1">
        <w:rPr>
          <w:rFonts w:cs="Times New Roman"/>
        </w:rPr>
        <w:t>“I am black but beautiful, as the tents of Cedar.”</w:t>
      </w:r>
      <w:r w:rsidR="00532C02" w:rsidRPr="00274CE1">
        <w:rPr>
          <w:rFonts w:cs="Times New Roman"/>
        </w:rPr>
        <w:t xml:space="preserve"> Black because darkened by the outdoor work, but beautiful changed by the purity of the divine image.</w:t>
      </w:r>
    </w:p>
    <w:p w14:paraId="094DB79B" w14:textId="77777777" w:rsidR="00532C02" w:rsidRPr="00274CE1" w:rsidRDefault="00532C02" w:rsidP="00AC6E1B">
      <w:pPr>
        <w:spacing w:line="480" w:lineRule="auto"/>
        <w:rPr>
          <w:rFonts w:cs="Times New Roman"/>
        </w:rPr>
      </w:pPr>
      <w:r w:rsidRPr="00274CE1">
        <w:rPr>
          <w:rFonts w:cs="Times New Roman"/>
        </w:rPr>
        <w:t xml:space="preserve">Concerning the second, 2 Cor. 5[:4]: </w:t>
      </w:r>
      <w:r w:rsidR="00D46911" w:rsidRPr="00274CE1">
        <w:rPr>
          <w:rFonts w:cs="Times New Roman"/>
        </w:rPr>
        <w:t>We are as if “in this tabernacle, do groan, being burthened; because we would not be unclothed, but clothed upon, that that which is mortal may be swallowed up by life.” The cleric groans whose part of heredity is God alone. The religious person groans who has been cast down by the weight of earthly things</w:t>
      </w:r>
      <w:r w:rsidR="003E0B9D" w:rsidRPr="00274CE1">
        <w:rPr>
          <w:rFonts w:cs="Times New Roman"/>
        </w:rPr>
        <w:t>, feels in himself the contrary motions, when the flesh drags him down from corruption, the spirit tends upwards out of devotion.</w:t>
      </w:r>
    </w:p>
    <w:p w14:paraId="05895C33" w14:textId="77777777" w:rsidR="003E0B9D" w:rsidRPr="00274CE1" w:rsidRDefault="003E0B9D" w:rsidP="003E0B9D">
      <w:pPr>
        <w:spacing w:line="480" w:lineRule="auto"/>
        <w:rPr>
          <w:rFonts w:cs="Times New Roman"/>
        </w:rPr>
      </w:pPr>
      <w:r w:rsidRPr="00274CE1">
        <w:rPr>
          <w:rFonts w:cs="Times New Roman"/>
        </w:rPr>
        <w:t xml:space="preserve">¶ Concerning the third, Job 39[:5-6]: </w:t>
      </w:r>
      <w:r w:rsidR="00965470" w:rsidRPr="00274CE1">
        <w:rPr>
          <w:rFonts w:cs="Times New Roman"/>
        </w:rPr>
        <w:t>“The</w:t>
      </w:r>
      <w:r w:rsidRPr="00274CE1">
        <w:rPr>
          <w:rFonts w:cs="Times New Roman"/>
        </w:rPr>
        <w:t xml:space="preserve"> wild ass to whom I have given a house in the wilderness, and his dwellings in the barren land.” This wild ass, </w:t>
      </w:r>
      <w:r w:rsidR="009527C6" w:rsidRPr="00274CE1">
        <w:rPr>
          <w:rFonts w:cs="Times New Roman"/>
        </w:rPr>
        <w:t>that</w:t>
      </w:r>
      <w:r w:rsidRPr="00274CE1">
        <w:rPr>
          <w:rFonts w:cs="Times New Roman"/>
        </w:rPr>
        <w:t xml:space="preserve"> is, the prelate stays in the place of solitude out of singular devotion and holiness, in the barren land out of </w:t>
      </w:r>
      <w:r w:rsidR="00E33867" w:rsidRPr="00274CE1">
        <w:rPr>
          <w:rFonts w:cs="Times New Roman"/>
        </w:rPr>
        <w:t>fervent charity, and on the mountain of solitude and subordinates under instruction.</w:t>
      </w:r>
    </w:p>
    <w:sectPr w:rsidR="003E0B9D" w:rsidRPr="00274CE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A711B" w14:textId="77777777" w:rsidR="009976F1" w:rsidRDefault="009976F1" w:rsidP="009976F1">
      <w:pPr>
        <w:spacing w:after="0" w:line="240" w:lineRule="auto"/>
      </w:pPr>
      <w:r>
        <w:separator/>
      </w:r>
    </w:p>
  </w:endnote>
  <w:endnote w:type="continuationSeparator" w:id="0">
    <w:p w14:paraId="6A8E4600" w14:textId="77777777" w:rsidR="009976F1" w:rsidRDefault="009976F1" w:rsidP="009976F1">
      <w:pPr>
        <w:spacing w:after="0" w:line="240" w:lineRule="auto"/>
      </w:pPr>
      <w:r>
        <w:continuationSeparator/>
      </w:r>
    </w:p>
  </w:endnote>
  <w:endnote w:id="1">
    <w:p w14:paraId="008901D7" w14:textId="54CA5FB1" w:rsidR="00E22502" w:rsidRPr="00E22502" w:rsidRDefault="00E22502">
      <w:pPr>
        <w:pStyle w:val="EndnoteText"/>
        <w:rPr>
          <w:rFonts w:cs="Times New Roman"/>
          <w:sz w:val="24"/>
          <w:szCs w:val="24"/>
        </w:rPr>
      </w:pPr>
      <w:r w:rsidRPr="00E22502">
        <w:rPr>
          <w:rStyle w:val="EndnoteReference"/>
          <w:rFonts w:cs="Times New Roman"/>
          <w:sz w:val="24"/>
          <w:szCs w:val="24"/>
        </w:rPr>
        <w:endnoteRef/>
      </w:r>
      <w:r w:rsidRPr="00E22502">
        <w:rPr>
          <w:rFonts w:cs="Times New Roman"/>
          <w:sz w:val="24"/>
          <w:szCs w:val="24"/>
        </w:rPr>
        <w:t xml:space="preserve"> Cf. Thomas Aquinas, </w:t>
      </w:r>
      <w:r>
        <w:rPr>
          <w:rFonts w:cs="Times New Roman"/>
          <w:i/>
          <w:iCs/>
          <w:sz w:val="24"/>
          <w:szCs w:val="24"/>
        </w:rPr>
        <w:t xml:space="preserve">Summa </w:t>
      </w:r>
      <w:proofErr w:type="gramStart"/>
      <w:r>
        <w:rPr>
          <w:rFonts w:cs="Times New Roman"/>
          <w:i/>
          <w:iCs/>
          <w:sz w:val="24"/>
          <w:szCs w:val="24"/>
        </w:rPr>
        <w:t xml:space="preserve">Theologica </w:t>
      </w:r>
      <w:r>
        <w:rPr>
          <w:rFonts w:cs="Times New Roman"/>
          <w:sz w:val="24"/>
          <w:szCs w:val="24"/>
        </w:rPr>
        <w:t xml:space="preserve"> I</w:t>
      </w:r>
      <w:r>
        <w:rPr>
          <w:rFonts w:cs="Times New Roman"/>
          <w:sz w:val="24"/>
          <w:szCs w:val="24"/>
          <w:vertAlign w:val="superscript"/>
        </w:rPr>
        <w:t>a</w:t>
      </w:r>
      <w:proofErr w:type="gramEnd"/>
      <w:r>
        <w:rPr>
          <w:rFonts w:cs="Times New Roman"/>
          <w:sz w:val="24"/>
          <w:szCs w:val="24"/>
        </w:rPr>
        <w:t>-Iiae q. 102 a. 4 ad 2.</w:t>
      </w:r>
    </w:p>
    <w:p w14:paraId="74966567" w14:textId="77777777" w:rsidR="00E22502" w:rsidRPr="00E22502" w:rsidRDefault="00E22502">
      <w:pPr>
        <w:pStyle w:val="EndnoteText"/>
        <w:rPr>
          <w:rFonts w:cs="Times New Roman"/>
          <w:sz w:val="24"/>
          <w:szCs w:val="24"/>
        </w:rPr>
      </w:pPr>
    </w:p>
  </w:endnote>
  <w:endnote w:id="2">
    <w:p w14:paraId="49E13113" w14:textId="77777777" w:rsidR="009976F1" w:rsidRPr="00E22502" w:rsidRDefault="009976F1" w:rsidP="009976F1">
      <w:pPr>
        <w:pStyle w:val="EndnoteText"/>
        <w:rPr>
          <w:rFonts w:cs="Times New Roman"/>
          <w:sz w:val="24"/>
          <w:szCs w:val="24"/>
        </w:rPr>
      </w:pPr>
      <w:r w:rsidRPr="00E22502">
        <w:rPr>
          <w:rStyle w:val="EndnoteReference"/>
          <w:rFonts w:cs="Times New Roman"/>
          <w:sz w:val="24"/>
          <w:szCs w:val="24"/>
        </w:rPr>
        <w:endnoteRef/>
      </w:r>
      <w:r w:rsidRPr="00E22502">
        <w:rPr>
          <w:rFonts w:cs="Times New Roman"/>
          <w:sz w:val="24"/>
          <w:szCs w:val="24"/>
        </w:rPr>
        <w:t xml:space="preserve"> Isidore, </w:t>
      </w:r>
      <w:r w:rsidRPr="00E22502">
        <w:rPr>
          <w:rFonts w:cs="Times New Roman"/>
          <w:i/>
          <w:sz w:val="24"/>
          <w:szCs w:val="24"/>
        </w:rPr>
        <w:t>Etymologiae</w:t>
      </w:r>
      <w:r w:rsidRPr="00E22502">
        <w:rPr>
          <w:rFonts w:cs="Times New Roman"/>
          <w:sz w:val="24"/>
          <w:szCs w:val="24"/>
        </w:rPr>
        <w:t xml:space="preserve"> 15.10.1-2 (PL 82:551): Tabernacula tentoria sunt militum, quibus in itinere solis ardores tempestatesque imbrium, frigorisque injurias vitant. Dicta autem tabernacula, quod cortinae distentae funibus, tabulis interstantibus appenderentur, quae tentoria sustinerent.</w:t>
      </w:r>
    </w:p>
    <w:p w14:paraId="5F2484D6" w14:textId="77777777" w:rsidR="009976F1" w:rsidRPr="00E22502" w:rsidRDefault="009976F1" w:rsidP="009976F1">
      <w:pPr>
        <w:pStyle w:val="EndnoteText"/>
        <w:rPr>
          <w:rFonts w:cs="Times New Roman"/>
          <w:sz w:val="24"/>
          <w:szCs w:val="24"/>
        </w:rPr>
      </w:pPr>
      <w:r w:rsidRPr="00E22502">
        <w:rPr>
          <w:rFonts w:cs="Times New Roman"/>
          <w:sz w:val="24"/>
          <w:szCs w:val="24"/>
        </w:rPr>
        <w:t xml:space="preserve">Tentorium vocatum quod tendatur funibus atque palis. Unde et hodie praetendere dicitur. </w:t>
      </w:r>
    </w:p>
    <w:p w14:paraId="2CE6184C" w14:textId="4B423F9E" w:rsidR="009976F1" w:rsidRPr="00E22502" w:rsidRDefault="009976F1">
      <w:pPr>
        <w:pStyle w:val="EndnoteText"/>
        <w:rPr>
          <w:rFonts w:cs="Times New Roman"/>
          <w:sz w:val="24"/>
          <w:szCs w:val="24"/>
        </w:rPr>
      </w:pPr>
    </w:p>
  </w:endnote>
  <w:endnote w:id="3">
    <w:p w14:paraId="5E3CDD33" w14:textId="77777777" w:rsidR="009976F1" w:rsidRPr="00E22502" w:rsidRDefault="009976F1" w:rsidP="009976F1">
      <w:pPr>
        <w:pStyle w:val="EndnoteText"/>
        <w:rPr>
          <w:rFonts w:cs="Times New Roman"/>
          <w:sz w:val="24"/>
          <w:szCs w:val="24"/>
        </w:rPr>
      </w:pPr>
      <w:r w:rsidRPr="00E22502">
        <w:rPr>
          <w:rStyle w:val="EndnoteReference"/>
          <w:rFonts w:cs="Times New Roman"/>
          <w:sz w:val="24"/>
          <w:szCs w:val="24"/>
        </w:rPr>
        <w:endnoteRef/>
      </w:r>
      <w:r w:rsidRPr="00E22502">
        <w:rPr>
          <w:rFonts w:cs="Times New Roman"/>
          <w:sz w:val="24"/>
          <w:szCs w:val="24"/>
        </w:rPr>
        <w:t xml:space="preserve"> Hugh of St. Victor, </w:t>
      </w:r>
      <w:r w:rsidRPr="00E22502">
        <w:rPr>
          <w:rFonts w:cs="Times New Roman"/>
          <w:i/>
          <w:sz w:val="24"/>
          <w:szCs w:val="24"/>
        </w:rPr>
        <w:t>Adnotatiunculae elucidatoriae in threnos Jeremiae...</w:t>
      </w:r>
      <w:r w:rsidRPr="00E22502">
        <w:rPr>
          <w:rFonts w:cs="Times New Roman"/>
          <w:sz w:val="24"/>
          <w:szCs w:val="24"/>
        </w:rPr>
        <w:t xml:space="preserve"> (PL 175:267-268, 274-276).</w:t>
      </w:r>
    </w:p>
    <w:p w14:paraId="7382752A" w14:textId="5080214A" w:rsidR="009976F1" w:rsidRPr="00E22502" w:rsidRDefault="009976F1">
      <w:pPr>
        <w:pStyle w:val="EndnoteText"/>
        <w:rPr>
          <w:rFonts w:cs="Times New Roman"/>
          <w:sz w:val="24"/>
          <w:szCs w:val="24"/>
        </w:rPr>
      </w:pPr>
    </w:p>
  </w:endnote>
  <w:endnote w:id="4">
    <w:p w14:paraId="0C881666" w14:textId="77777777" w:rsidR="009976F1" w:rsidRPr="00E22502" w:rsidRDefault="009976F1" w:rsidP="009976F1">
      <w:pPr>
        <w:pStyle w:val="EndnoteText"/>
        <w:rPr>
          <w:rFonts w:cs="Times New Roman"/>
          <w:sz w:val="24"/>
          <w:szCs w:val="24"/>
        </w:rPr>
      </w:pPr>
      <w:r w:rsidRPr="00E22502">
        <w:rPr>
          <w:rStyle w:val="EndnoteReference"/>
          <w:rFonts w:cs="Times New Roman"/>
          <w:sz w:val="24"/>
          <w:szCs w:val="24"/>
        </w:rPr>
        <w:endnoteRef/>
      </w:r>
      <w:r w:rsidRPr="00E22502">
        <w:rPr>
          <w:rFonts w:cs="Times New Roman"/>
          <w:sz w:val="24"/>
          <w:szCs w:val="24"/>
        </w:rPr>
        <w:t xml:space="preserve"> Gregory, </w:t>
      </w:r>
      <w:r w:rsidRPr="00E22502">
        <w:rPr>
          <w:rFonts w:cs="Times New Roman"/>
          <w:i/>
          <w:sz w:val="24"/>
          <w:szCs w:val="24"/>
        </w:rPr>
        <w:t>Moralia</w:t>
      </w:r>
      <w:r w:rsidRPr="00E22502">
        <w:rPr>
          <w:rFonts w:cs="Times New Roman"/>
          <w:sz w:val="24"/>
          <w:szCs w:val="24"/>
        </w:rPr>
        <w:t xml:space="preserve"> 8.54.92 (PL 75:858): quia vitae fugientis amatores, dum studiose se in praesentibus construunt, repente ad aeterna rapiuntur.</w:t>
      </w:r>
    </w:p>
    <w:p w14:paraId="2D981B53" w14:textId="5BCFF9A1" w:rsidR="009976F1" w:rsidRPr="00E22502" w:rsidRDefault="009976F1">
      <w:pPr>
        <w:pStyle w:val="EndnoteText"/>
        <w:rPr>
          <w:rFonts w:cs="Times New Roman"/>
          <w:sz w:val="24"/>
          <w:szCs w:val="24"/>
        </w:rPr>
      </w:pPr>
    </w:p>
  </w:endnote>
  <w:endnote w:id="5">
    <w:p w14:paraId="1217F88C" w14:textId="77777777" w:rsidR="009976F1" w:rsidRPr="00E22502" w:rsidRDefault="009976F1" w:rsidP="009976F1">
      <w:pPr>
        <w:pStyle w:val="EndnoteText"/>
        <w:rPr>
          <w:rFonts w:cs="Times New Roman"/>
          <w:sz w:val="24"/>
          <w:szCs w:val="24"/>
        </w:rPr>
      </w:pPr>
      <w:r w:rsidRPr="00E22502">
        <w:rPr>
          <w:rStyle w:val="EndnoteReference"/>
          <w:rFonts w:cs="Times New Roman"/>
          <w:sz w:val="24"/>
          <w:szCs w:val="24"/>
        </w:rPr>
        <w:endnoteRef/>
      </w:r>
      <w:r w:rsidRPr="00E22502">
        <w:rPr>
          <w:rFonts w:cs="Times New Roman"/>
          <w:sz w:val="24"/>
          <w:szCs w:val="24"/>
        </w:rPr>
        <w:t xml:space="preserve"> Augustine, </w:t>
      </w:r>
      <w:r w:rsidRPr="00E22502">
        <w:rPr>
          <w:rFonts w:cs="Times New Roman"/>
          <w:i/>
          <w:sz w:val="24"/>
          <w:szCs w:val="24"/>
        </w:rPr>
        <w:t>De Trinitate</w:t>
      </w:r>
      <w:r w:rsidRPr="00E22502">
        <w:rPr>
          <w:rFonts w:cs="Times New Roman"/>
          <w:sz w:val="24"/>
          <w:szCs w:val="24"/>
        </w:rPr>
        <w:t xml:space="preserve"> 5.1.2 (PL 42:912): Nihil certe istorum invenimus in eo, quo in natura nostra nihil melius invenimus, id est, in nostro intellectu, quo sapientiam capimus quantum capaces sumus. Quod ergo non invenimus in meliore nostro, non debemus in illo quaerere, quod longe melius est meliore nostro: ut sic intelligamus Deum,</w:t>
      </w:r>
    </w:p>
    <w:p w14:paraId="1793977D" w14:textId="3CA6D133" w:rsidR="009976F1" w:rsidRPr="00E22502" w:rsidRDefault="009976F1">
      <w:pPr>
        <w:pStyle w:val="EndnoteText"/>
        <w:rPr>
          <w:rFonts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EE704" w14:textId="77777777" w:rsidR="009976F1" w:rsidRDefault="009976F1" w:rsidP="009976F1">
      <w:pPr>
        <w:spacing w:after="0" w:line="240" w:lineRule="auto"/>
      </w:pPr>
      <w:r>
        <w:separator/>
      </w:r>
    </w:p>
  </w:footnote>
  <w:footnote w:type="continuationSeparator" w:id="0">
    <w:p w14:paraId="7916AA31" w14:textId="77777777" w:rsidR="009976F1" w:rsidRDefault="009976F1" w:rsidP="009976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76B75"/>
    <w:rsid w:val="000911E8"/>
    <w:rsid w:val="001A49DB"/>
    <w:rsid w:val="00221DB6"/>
    <w:rsid w:val="00274CE1"/>
    <w:rsid w:val="002B0873"/>
    <w:rsid w:val="003B73F0"/>
    <w:rsid w:val="003E0B9D"/>
    <w:rsid w:val="00423005"/>
    <w:rsid w:val="00512052"/>
    <w:rsid w:val="00532C02"/>
    <w:rsid w:val="005D2234"/>
    <w:rsid w:val="005F37E4"/>
    <w:rsid w:val="00615D8A"/>
    <w:rsid w:val="00735D2F"/>
    <w:rsid w:val="00940BBD"/>
    <w:rsid w:val="009527C6"/>
    <w:rsid w:val="00965470"/>
    <w:rsid w:val="0098229F"/>
    <w:rsid w:val="009976F1"/>
    <w:rsid w:val="009A2394"/>
    <w:rsid w:val="00A420F1"/>
    <w:rsid w:val="00A728DB"/>
    <w:rsid w:val="00AC6E1B"/>
    <w:rsid w:val="00B9284F"/>
    <w:rsid w:val="00C10F74"/>
    <w:rsid w:val="00C35D8D"/>
    <w:rsid w:val="00C77960"/>
    <w:rsid w:val="00D46911"/>
    <w:rsid w:val="00D55E8A"/>
    <w:rsid w:val="00D65D91"/>
    <w:rsid w:val="00E22502"/>
    <w:rsid w:val="00E33867"/>
    <w:rsid w:val="00F541F6"/>
    <w:rsid w:val="00F76B75"/>
    <w:rsid w:val="00FF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BA0F"/>
  <w15:chartTrackingRefBased/>
  <w15:docId w15:val="{2DED065F-E6F4-41CB-8DFC-B44E87B5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FootnoteReference"/>
    <w:uiPriority w:val="31"/>
    <w:qFormat/>
    <w:rsid w:val="00F541F6"/>
    <w:rPr>
      <w:rFonts w:ascii="Courier New" w:hAnsi="Courier New"/>
      <w:caps w:val="0"/>
      <w:smallCaps/>
      <w:color w:val="000000" w:themeColor="text1"/>
      <w:sz w:val="24"/>
      <w:u w:val="single"/>
      <w:vertAlign w:val="superscript"/>
    </w:rPr>
  </w:style>
  <w:style w:type="character" w:styleId="FootnoteReference">
    <w:name w:val="footnote reference"/>
    <w:basedOn w:val="DefaultParagraphFont"/>
    <w:uiPriority w:val="99"/>
    <w:semiHidden/>
    <w:unhideWhenUsed/>
    <w:rsid w:val="00F541F6"/>
    <w:rPr>
      <w:vertAlign w:val="superscript"/>
    </w:rPr>
  </w:style>
  <w:style w:type="paragraph" w:styleId="EndnoteText">
    <w:name w:val="endnote text"/>
    <w:basedOn w:val="Normal"/>
    <w:link w:val="EndnoteTextChar"/>
    <w:uiPriority w:val="99"/>
    <w:semiHidden/>
    <w:unhideWhenUsed/>
    <w:rsid w:val="00997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76F1"/>
    <w:rPr>
      <w:sz w:val="20"/>
      <w:szCs w:val="20"/>
    </w:rPr>
  </w:style>
  <w:style w:type="character" w:styleId="EndnoteReference">
    <w:name w:val="endnote reference"/>
    <w:basedOn w:val="DefaultParagraphFont"/>
    <w:uiPriority w:val="99"/>
    <w:semiHidden/>
    <w:unhideWhenUsed/>
    <w:rsid w:val="009976F1"/>
    <w:rPr>
      <w:vertAlign w:val="superscript"/>
    </w:rPr>
  </w:style>
  <w:style w:type="character" w:customStyle="1" w:styleId="ref">
    <w:name w:val="ref"/>
    <w:basedOn w:val="DefaultParagraphFont"/>
    <w:rsid w:val="00E22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23A0359-CEAE-425C-A727-F552BE57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Crook</dc:creator>
  <cp:keywords/>
  <dc:description/>
  <cp:lastModifiedBy>Eugene Crook</cp:lastModifiedBy>
  <cp:revision>7</cp:revision>
  <cp:lastPrinted>2019-12-05T20:31:00Z</cp:lastPrinted>
  <dcterms:created xsi:type="dcterms:W3CDTF">2021-01-24T23:52:00Z</dcterms:created>
  <dcterms:modified xsi:type="dcterms:W3CDTF">2021-01-25T23:56:00Z</dcterms:modified>
</cp:coreProperties>
</file>