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8FE80" w14:textId="77777777" w:rsidR="00B9284F" w:rsidRPr="001D0BE9" w:rsidRDefault="004E39E6" w:rsidP="004E39E6">
      <w:pPr>
        <w:spacing w:line="480" w:lineRule="auto"/>
        <w:rPr>
          <w:rFonts w:cs="Times New Roman"/>
        </w:rPr>
      </w:pPr>
      <w:bookmarkStart w:id="0" w:name="_GoBack"/>
      <w:bookmarkEnd w:id="0"/>
      <w:r w:rsidRPr="001D0BE9">
        <w:rPr>
          <w:rFonts w:cs="Times New Roman"/>
        </w:rPr>
        <w:t>299 Propheta</w:t>
      </w:r>
    </w:p>
    <w:p w14:paraId="33782EDF" w14:textId="67E2A904" w:rsidR="005103B0" w:rsidRPr="001D0BE9" w:rsidRDefault="004E39E6" w:rsidP="003D6993">
      <w:pPr>
        <w:spacing w:line="480" w:lineRule="auto"/>
        <w:rPr>
          <w:rFonts w:cs="Times New Roman"/>
        </w:rPr>
      </w:pPr>
      <w:r w:rsidRPr="001D0BE9">
        <w:rPr>
          <w:rFonts w:cs="Times New Roman"/>
        </w:rPr>
        <w:t>Hoc nomen c</w:t>
      </w:r>
      <w:r w:rsidR="001E5696" w:rsidRPr="001D0BE9">
        <w:rPr>
          <w:rFonts w:cs="Times New Roman"/>
        </w:rPr>
        <w:t>um habeat h. post p. non descen</w:t>
      </w:r>
      <w:r w:rsidRPr="001D0BE9">
        <w:rPr>
          <w:rFonts w:cs="Times New Roman"/>
        </w:rPr>
        <w:t>dit a profor, profaris, sed pocius a procul et phonos</w:t>
      </w:r>
      <w:r w:rsidR="00A61D16" w:rsidRPr="001D0BE9">
        <w:rPr>
          <w:rFonts w:cs="Times New Roman"/>
        </w:rPr>
        <w:t>,</w:t>
      </w:r>
      <w:r w:rsidR="001E5696" w:rsidRPr="001D0BE9">
        <w:rPr>
          <w:rFonts w:cs="Times New Roman"/>
        </w:rPr>
        <w:t xml:space="preserve"> </w:t>
      </w:r>
      <w:r w:rsidR="003D6993" w:rsidRPr="001D0BE9">
        <w:rPr>
          <w:rFonts w:cs="Times New Roman"/>
        </w:rPr>
        <w:t>quo</w:t>
      </w:r>
      <w:r w:rsidR="001D0BE9" w:rsidRPr="001D0BE9">
        <w:rPr>
          <w:rStyle w:val="EndnoteReference"/>
          <w:rFonts w:cs="Times New Roman"/>
        </w:rPr>
        <w:endnoteReference w:id="1"/>
      </w:r>
      <w:r w:rsidR="003D6993" w:rsidRPr="001D0BE9">
        <w:rPr>
          <w:rFonts w:cs="Times New Roman"/>
        </w:rPr>
        <w:t xml:space="preserve"> est sonus</w:t>
      </w:r>
      <w:r w:rsidR="00A61D16" w:rsidRPr="001D0BE9">
        <w:rPr>
          <w:rFonts w:cs="Times New Roman"/>
        </w:rPr>
        <w:t>,</w:t>
      </w:r>
      <w:r w:rsidR="003D6993" w:rsidRPr="001D0BE9">
        <w:rPr>
          <w:rFonts w:cs="Times New Roman"/>
        </w:rPr>
        <w:t xml:space="preserve"> eo quod longe preuisa pronunciet</w:t>
      </w:r>
      <w:r w:rsidR="001E5696" w:rsidRPr="001D0BE9">
        <w:rPr>
          <w:rFonts w:cs="Times New Roman"/>
        </w:rPr>
        <w:t>.</w:t>
      </w:r>
      <w:r w:rsidR="005103B0" w:rsidRPr="001D0BE9">
        <w:rPr>
          <w:rFonts w:cs="Times New Roman"/>
        </w:rPr>
        <w:t xml:space="preserve"> </w:t>
      </w:r>
      <w:r w:rsidR="003D6993" w:rsidRPr="001D0BE9">
        <w:rPr>
          <w:rFonts w:cs="Times New Roman"/>
        </w:rPr>
        <w:t>Vnde nota quod viri propheto</w:t>
      </w:r>
      <w:r w:rsidR="00B629B8" w:rsidRPr="001D0BE9">
        <w:rPr>
          <w:rFonts w:cs="Times New Roman"/>
        </w:rPr>
        <w:t xml:space="preserve"> intelligebant que videbant ma</w:t>
      </w:r>
      <w:r w:rsidR="003D6993" w:rsidRPr="001D0BE9">
        <w:rPr>
          <w:rFonts w:cs="Times New Roman"/>
        </w:rPr>
        <w:t>li</w:t>
      </w:r>
      <w:r w:rsidR="005103B0" w:rsidRPr="001D0BE9">
        <w:rPr>
          <w:rFonts w:cs="Times New Roman"/>
        </w:rPr>
        <w:t>.</w:t>
      </w:r>
      <w:r w:rsidR="003D6993" w:rsidRPr="001D0BE9">
        <w:rPr>
          <w:rFonts w:cs="Times New Roman"/>
        </w:rPr>
        <w:t xml:space="preserve"> </w:t>
      </w:r>
      <w:r w:rsidR="005103B0" w:rsidRPr="001D0BE9">
        <w:rPr>
          <w:rFonts w:cs="Times New Roman"/>
        </w:rPr>
        <w:t>A</w:t>
      </w:r>
      <w:r w:rsidR="003D6993" w:rsidRPr="001D0BE9">
        <w:rPr>
          <w:rFonts w:cs="Times New Roman"/>
        </w:rPr>
        <w:t xml:space="preserve">utem non secundum illud Job [13:1]: </w:t>
      </w:r>
      <w:r w:rsidR="003D6993" w:rsidRPr="001D0BE9">
        <w:rPr>
          <w:rFonts w:cs="Times New Roman"/>
          <w:i/>
        </w:rPr>
        <w:t>Omnia vidit oculus meus,</w:t>
      </w:r>
      <w:r w:rsidR="005103B0" w:rsidRPr="001D0BE9">
        <w:rPr>
          <w:rFonts w:cs="Times New Roman"/>
          <w:i/>
        </w:rPr>
        <w:t xml:space="preserve"> </w:t>
      </w:r>
      <w:r w:rsidR="003D6993" w:rsidRPr="001D0BE9">
        <w:rPr>
          <w:rFonts w:cs="Times New Roman"/>
          <w:i/>
        </w:rPr>
        <w:t>et intellexi singula</w:t>
      </w:r>
      <w:r w:rsidR="003D6993" w:rsidRPr="001D0BE9">
        <w:rPr>
          <w:rFonts w:cs="Times New Roman"/>
        </w:rPr>
        <w:t xml:space="preserve">. Quod exponens Gregorius, </w:t>
      </w:r>
      <w:r w:rsidR="003D6993" w:rsidRPr="001D0BE9">
        <w:rPr>
          <w:rFonts w:cs="Times New Roman"/>
          <w:i/>
        </w:rPr>
        <w:t>Moralia</w:t>
      </w:r>
      <w:r w:rsidR="003D6993" w:rsidRPr="001D0BE9">
        <w:rPr>
          <w:rFonts w:cs="Times New Roman"/>
        </w:rPr>
        <w:t>, 11, dicit</w:t>
      </w:r>
      <w:r w:rsidR="00E76C69" w:rsidRPr="001D0BE9">
        <w:rPr>
          <w:rFonts w:cs="Times New Roman"/>
        </w:rPr>
        <w:t>,</w:t>
      </w:r>
      <w:r w:rsidR="003D6993" w:rsidRPr="001D0BE9">
        <w:rPr>
          <w:rFonts w:cs="Times New Roman"/>
        </w:rPr>
        <w:t xml:space="preserve"> </w:t>
      </w:r>
      <w:r w:rsidR="00E76C69" w:rsidRPr="001D0BE9">
        <w:rPr>
          <w:rFonts w:cs="Times New Roman"/>
        </w:rPr>
        <w:t>C</w:t>
      </w:r>
      <w:r w:rsidR="003D6993" w:rsidRPr="001D0BE9">
        <w:rPr>
          <w:rFonts w:cs="Times New Roman"/>
        </w:rPr>
        <w:t>um aliud ostendit</w:t>
      </w:r>
      <w:r w:rsidR="00E76C69" w:rsidRPr="001D0BE9">
        <w:rPr>
          <w:rFonts w:cs="Times New Roman"/>
        </w:rPr>
        <w:t>ur,</w:t>
      </w:r>
      <w:r w:rsidR="003D6993" w:rsidRPr="001D0BE9">
        <w:rPr>
          <w:rFonts w:cs="Times New Roman"/>
        </w:rPr>
        <w:t xml:space="preserve"> uel auditur</w:t>
      </w:r>
      <w:r w:rsidR="00E76C69" w:rsidRPr="001D0BE9">
        <w:rPr>
          <w:rFonts w:cs="Times New Roman"/>
        </w:rPr>
        <w:t>,</w:t>
      </w:r>
      <w:r w:rsidR="003D6993" w:rsidRPr="001D0BE9">
        <w:rPr>
          <w:rFonts w:cs="Times New Roman"/>
        </w:rPr>
        <w:t xml:space="preserve"> quod non intelligitur</w:t>
      </w:r>
      <w:r w:rsidR="00E76C69" w:rsidRPr="001D0BE9">
        <w:rPr>
          <w:rFonts w:cs="Times New Roman"/>
        </w:rPr>
        <w:t>,</w:t>
      </w:r>
      <w:r w:rsidR="003D6993" w:rsidRPr="001D0BE9">
        <w:rPr>
          <w:rFonts w:cs="Times New Roman"/>
        </w:rPr>
        <w:t xml:space="preserve"> prophecia non est</w:t>
      </w:r>
      <w:r w:rsidR="00E76C69" w:rsidRPr="001D0BE9">
        <w:rPr>
          <w:rFonts w:cs="Times New Roman"/>
        </w:rPr>
        <w:t>.</w:t>
      </w:r>
      <w:r w:rsidR="005103B0" w:rsidRPr="001D0BE9">
        <w:rPr>
          <w:rFonts w:cs="Times New Roman"/>
        </w:rPr>
        <w:t xml:space="preserve"> </w:t>
      </w:r>
      <w:r w:rsidR="00E76C69" w:rsidRPr="001D0BE9">
        <w:rPr>
          <w:rFonts w:cs="Times New Roman"/>
        </w:rPr>
        <w:t>S</w:t>
      </w:r>
      <w:r w:rsidR="003D6993" w:rsidRPr="001D0BE9">
        <w:rPr>
          <w:rFonts w:cs="Times New Roman"/>
        </w:rPr>
        <w:t xml:space="preserve">icut patet de sompno Pharonis et de visione Balthazar. Vnde et prophecie falsi distinguntur a veris in tribis. </w:t>
      </w:r>
    </w:p>
    <w:p w14:paraId="24AAE799" w14:textId="77777777" w:rsidR="005103B0" w:rsidRPr="001D0BE9" w:rsidRDefault="003D6993" w:rsidP="003D6993">
      <w:pPr>
        <w:spacing w:line="480" w:lineRule="auto"/>
        <w:rPr>
          <w:rFonts w:cs="Times New Roman"/>
        </w:rPr>
      </w:pPr>
      <w:r w:rsidRPr="001D0BE9">
        <w:rPr>
          <w:rFonts w:cs="Times New Roman"/>
        </w:rPr>
        <w:t>Primo</w:t>
      </w:r>
      <w:r w:rsidR="005103B0" w:rsidRPr="001D0BE9">
        <w:rPr>
          <w:rFonts w:cs="Times New Roman"/>
        </w:rPr>
        <w:t>,</w:t>
      </w:r>
      <w:r w:rsidR="00CC6A4F" w:rsidRPr="001D0BE9">
        <w:rPr>
          <w:rFonts w:cs="Times New Roman"/>
        </w:rPr>
        <w:t xml:space="preserve"> quantum</w:t>
      </w:r>
      <w:r w:rsidR="005103B0" w:rsidRPr="001D0BE9">
        <w:rPr>
          <w:rFonts w:cs="Times New Roman"/>
        </w:rPr>
        <w:t xml:space="preserve"> </w:t>
      </w:r>
      <w:r w:rsidR="00CC6A4F" w:rsidRPr="001D0BE9">
        <w:rPr>
          <w:rFonts w:cs="Times New Roman"/>
        </w:rPr>
        <w:t>ad reuelacionis ardorem</w:t>
      </w:r>
      <w:r w:rsidR="00116774" w:rsidRPr="001D0BE9">
        <w:rPr>
          <w:rFonts w:cs="Times New Roman"/>
        </w:rPr>
        <w:t>,</w:t>
      </w:r>
      <w:r w:rsidR="005B3424" w:rsidRPr="001D0BE9">
        <w:rPr>
          <w:rFonts w:cs="Times New Roman"/>
        </w:rPr>
        <w:t xml:space="preserve"> quia boni prophean</w:t>
      </w:r>
      <w:r w:rsidR="00CC6A4F" w:rsidRPr="001D0BE9">
        <w:rPr>
          <w:rFonts w:cs="Times New Roman"/>
        </w:rPr>
        <w:t>t mediante</w:t>
      </w:r>
      <w:r w:rsidR="005103B0" w:rsidRPr="001D0BE9">
        <w:rPr>
          <w:rFonts w:cs="Times New Roman"/>
        </w:rPr>
        <w:t xml:space="preserve"> </w:t>
      </w:r>
      <w:r w:rsidR="00CC6A4F" w:rsidRPr="001D0BE9">
        <w:rPr>
          <w:rFonts w:cs="Times New Roman"/>
        </w:rPr>
        <w:t>Domino</w:t>
      </w:r>
      <w:r w:rsidR="00116774" w:rsidRPr="001D0BE9">
        <w:rPr>
          <w:rFonts w:cs="Times New Roman"/>
        </w:rPr>
        <w:t>,</w:t>
      </w:r>
      <w:r w:rsidR="00CC6A4F" w:rsidRPr="001D0BE9">
        <w:rPr>
          <w:rFonts w:cs="Times New Roman"/>
        </w:rPr>
        <w:t xml:space="preserve"> lumine</w:t>
      </w:r>
      <w:r w:rsidR="00116774" w:rsidRPr="001D0BE9">
        <w:rPr>
          <w:rFonts w:cs="Times New Roman"/>
        </w:rPr>
        <w:t>,</w:t>
      </w:r>
      <w:r w:rsidR="00CC6A4F" w:rsidRPr="001D0BE9">
        <w:rPr>
          <w:rFonts w:cs="Times New Roman"/>
        </w:rPr>
        <w:t xml:space="preserve"> et bonis angelis, s</w:t>
      </w:r>
      <w:r w:rsidR="005B3424" w:rsidRPr="001D0BE9">
        <w:rPr>
          <w:rFonts w:cs="Times New Roman"/>
        </w:rPr>
        <w:t>ed non pseu</w:t>
      </w:r>
      <w:r w:rsidR="005103B0" w:rsidRPr="001D0BE9">
        <w:rPr>
          <w:rFonts w:cs="Times New Roman"/>
        </w:rPr>
        <w:t>do prophete</w:t>
      </w:r>
      <w:r w:rsidR="005B3424" w:rsidRPr="001D0BE9">
        <w:rPr>
          <w:rFonts w:cs="Times New Roman"/>
        </w:rPr>
        <w:t>,</w:t>
      </w:r>
      <w:r w:rsidR="005103B0" w:rsidRPr="001D0BE9">
        <w:rPr>
          <w:rFonts w:cs="Times New Roman"/>
        </w:rPr>
        <w:t xml:space="preserve"> sequun</w:t>
      </w:r>
      <w:r w:rsidR="00CC6A4F" w:rsidRPr="001D0BE9">
        <w:rPr>
          <w:rFonts w:cs="Times New Roman"/>
        </w:rPr>
        <w:t xml:space="preserve">tur spiritum proprium et malos angelos. </w:t>
      </w:r>
    </w:p>
    <w:p w14:paraId="4B83901B" w14:textId="77777777" w:rsidR="005103B0" w:rsidRPr="001D0BE9" w:rsidRDefault="00CC6A4F" w:rsidP="00124880">
      <w:pPr>
        <w:spacing w:line="480" w:lineRule="auto"/>
        <w:rPr>
          <w:rFonts w:cs="Times New Roman"/>
        </w:rPr>
      </w:pPr>
      <w:r w:rsidRPr="001D0BE9">
        <w:rPr>
          <w:rFonts w:cs="Times New Roman"/>
        </w:rPr>
        <w:t>Secundo</w:t>
      </w:r>
      <w:r w:rsidR="005103B0" w:rsidRPr="001D0BE9">
        <w:rPr>
          <w:rFonts w:cs="Times New Roman"/>
        </w:rPr>
        <w:t>, quantum ad inten</w:t>
      </w:r>
      <w:r w:rsidR="00124880" w:rsidRPr="001D0BE9">
        <w:rPr>
          <w:rFonts w:cs="Times New Roman"/>
        </w:rPr>
        <w:t>cionis prenunciacionem quia f</w:t>
      </w:r>
      <w:r w:rsidR="00A63F50" w:rsidRPr="001D0BE9">
        <w:rPr>
          <w:rFonts w:cs="Times New Roman"/>
        </w:rPr>
        <w:t>alsorum</w:t>
      </w:r>
      <w:r w:rsidR="00124880" w:rsidRPr="001D0BE9">
        <w:rPr>
          <w:rFonts w:cs="Times New Roman"/>
        </w:rPr>
        <w:t xml:space="preserve"> intencio est aliquod lucrum</w:t>
      </w:r>
      <w:r w:rsidR="005103B0" w:rsidRPr="001D0BE9">
        <w:rPr>
          <w:rFonts w:cs="Times New Roman"/>
        </w:rPr>
        <w:t xml:space="preserve"> </w:t>
      </w:r>
      <w:r w:rsidR="00124880" w:rsidRPr="001D0BE9">
        <w:rPr>
          <w:rFonts w:cs="Times New Roman"/>
        </w:rPr>
        <w:t>temporale</w:t>
      </w:r>
      <w:r w:rsidR="00F27781" w:rsidRPr="001D0BE9">
        <w:rPr>
          <w:rFonts w:cs="Times New Roman"/>
        </w:rPr>
        <w:t>, sicut dicitur</w:t>
      </w:r>
      <w:r w:rsidR="00124880" w:rsidRPr="001D0BE9">
        <w:rPr>
          <w:rFonts w:cs="Times New Roman"/>
        </w:rPr>
        <w:t xml:space="preserve"> Ezech. 13[:19]: </w:t>
      </w:r>
      <w:r w:rsidR="00124880" w:rsidRPr="001D0BE9">
        <w:rPr>
          <w:rFonts w:cs="Times New Roman"/>
          <w:i/>
        </w:rPr>
        <w:t>Violant me ad populum meum propter pugillum hordei, et fragmen panis</w:t>
      </w:r>
      <w:r w:rsidR="00124880" w:rsidRPr="001D0BE9">
        <w:rPr>
          <w:rFonts w:cs="Times New Roman"/>
        </w:rPr>
        <w:t>. Et in Michea</w:t>
      </w:r>
      <w:r w:rsidR="00F27781" w:rsidRPr="001D0BE9">
        <w:rPr>
          <w:rFonts w:cs="Times New Roman"/>
        </w:rPr>
        <w:t>s</w:t>
      </w:r>
      <w:r w:rsidR="00124880" w:rsidRPr="001D0BE9">
        <w:rPr>
          <w:rFonts w:cs="Times New Roman"/>
        </w:rPr>
        <w:t xml:space="preserve"> [3:5] dicitur</w:t>
      </w:r>
      <w:r w:rsidR="005103B0" w:rsidRPr="001D0BE9">
        <w:rPr>
          <w:rFonts w:cs="Times New Roman"/>
        </w:rPr>
        <w:t xml:space="preserve"> </w:t>
      </w:r>
      <w:r w:rsidR="00FA6441" w:rsidRPr="001D0BE9">
        <w:rPr>
          <w:rFonts w:cs="Times New Roman"/>
        </w:rPr>
        <w:t xml:space="preserve">nisi </w:t>
      </w:r>
      <w:r w:rsidR="00FA6441" w:rsidRPr="001D0BE9">
        <w:rPr>
          <w:rFonts w:cs="Times New Roman"/>
          <w:i/>
        </w:rPr>
        <w:t>quis</w:t>
      </w:r>
      <w:r w:rsidR="00124880" w:rsidRPr="001D0BE9">
        <w:rPr>
          <w:rFonts w:cs="Times New Roman"/>
          <w:i/>
        </w:rPr>
        <w:t xml:space="preserve"> dederit in ore eorum quippiam</w:t>
      </w:r>
      <w:r w:rsidR="00124880" w:rsidRPr="001D0BE9">
        <w:rPr>
          <w:rFonts w:cs="Times New Roman"/>
        </w:rPr>
        <w:t>,</w:t>
      </w:r>
      <w:r w:rsidR="00FA6441" w:rsidRPr="001D0BE9">
        <w:rPr>
          <w:rFonts w:cs="Times New Roman"/>
        </w:rPr>
        <w:t xml:space="preserve"> mox </w:t>
      </w:r>
      <w:r w:rsidR="00124880" w:rsidRPr="001D0BE9">
        <w:rPr>
          <w:rFonts w:cs="Times New Roman"/>
          <w:i/>
        </w:rPr>
        <w:t>sanctificant super eum prælium</w:t>
      </w:r>
      <w:r w:rsidR="00124880" w:rsidRPr="001D0BE9">
        <w:rPr>
          <w:rFonts w:cs="Times New Roman"/>
        </w:rPr>
        <w:t>.</w:t>
      </w:r>
      <w:r w:rsidR="00FA6441" w:rsidRPr="001D0BE9">
        <w:rPr>
          <w:rFonts w:cs="Times New Roman"/>
        </w:rPr>
        <w:t xml:space="preserve"> Sed bonorum intencio recto finem ordinatur. </w:t>
      </w:r>
    </w:p>
    <w:p w14:paraId="113C2624" w14:textId="77777777" w:rsidR="005103B0" w:rsidRPr="001D0BE9" w:rsidRDefault="00FA6441" w:rsidP="00124880">
      <w:pPr>
        <w:spacing w:line="480" w:lineRule="auto"/>
        <w:rPr>
          <w:rFonts w:cs="Times New Roman"/>
        </w:rPr>
      </w:pPr>
      <w:r w:rsidRPr="001D0BE9">
        <w:rPr>
          <w:rFonts w:cs="Times New Roman"/>
        </w:rPr>
        <w:t>¶ Tercio</w:t>
      </w:r>
      <w:r w:rsidR="005103B0" w:rsidRPr="001D0BE9">
        <w:rPr>
          <w:rFonts w:cs="Times New Roman"/>
        </w:rPr>
        <w:t xml:space="preserve">, </w:t>
      </w:r>
      <w:r w:rsidR="00F27781" w:rsidRPr="001D0BE9">
        <w:rPr>
          <w:rFonts w:cs="Times New Roman"/>
        </w:rPr>
        <w:t>quant</w:t>
      </w:r>
      <w:r w:rsidRPr="001D0BE9">
        <w:rPr>
          <w:rFonts w:cs="Times New Roman"/>
        </w:rPr>
        <w:t>um ad certitudinem prenunciatorum</w:t>
      </w:r>
      <w:r w:rsidR="00F27781" w:rsidRPr="001D0BE9">
        <w:rPr>
          <w:rFonts w:cs="Times New Roman"/>
        </w:rPr>
        <w:t>,</w:t>
      </w:r>
      <w:r w:rsidRPr="001D0BE9">
        <w:rPr>
          <w:rFonts w:cs="Times New Roman"/>
        </w:rPr>
        <w:t xml:space="preserve"> quia bonorum prophecia innititur</w:t>
      </w:r>
      <w:r w:rsidR="005103B0" w:rsidRPr="001D0BE9">
        <w:rPr>
          <w:rFonts w:cs="Times New Roman"/>
        </w:rPr>
        <w:t xml:space="preserve"> </w:t>
      </w:r>
      <w:r w:rsidRPr="001D0BE9">
        <w:rPr>
          <w:rFonts w:cs="Times New Roman"/>
        </w:rPr>
        <w:t xml:space="preserve">diuine </w:t>
      </w:r>
      <w:r w:rsidR="00744F5E" w:rsidRPr="001D0BE9">
        <w:rPr>
          <w:rFonts w:cs="Times New Roman"/>
        </w:rPr>
        <w:t>presciencie.</w:t>
      </w:r>
      <w:r w:rsidRPr="001D0BE9">
        <w:rPr>
          <w:rFonts w:cs="Times New Roman"/>
        </w:rPr>
        <w:t xml:space="preserve"> </w:t>
      </w:r>
      <w:r w:rsidR="00744F5E" w:rsidRPr="001D0BE9">
        <w:rPr>
          <w:rFonts w:cs="Times New Roman"/>
        </w:rPr>
        <w:t>Malorum</w:t>
      </w:r>
      <w:r w:rsidRPr="001D0BE9">
        <w:rPr>
          <w:rFonts w:cs="Times New Roman"/>
        </w:rPr>
        <w:t xml:space="preserve"> </w:t>
      </w:r>
      <w:r w:rsidR="00744F5E" w:rsidRPr="001D0BE9">
        <w:rPr>
          <w:rFonts w:cs="Times New Roman"/>
        </w:rPr>
        <w:t>vero demonum pres</w:t>
      </w:r>
      <w:r w:rsidRPr="001D0BE9">
        <w:rPr>
          <w:rFonts w:cs="Times New Roman"/>
        </w:rPr>
        <w:t>cie</w:t>
      </w:r>
      <w:r w:rsidR="00744F5E" w:rsidRPr="001D0BE9">
        <w:rPr>
          <w:rFonts w:cs="Times New Roman"/>
        </w:rPr>
        <w:t>ncie</w:t>
      </w:r>
      <w:r w:rsidRPr="001D0BE9">
        <w:rPr>
          <w:rFonts w:cs="Times New Roman"/>
        </w:rPr>
        <w:t xml:space="preserve"> que solummodo</w:t>
      </w:r>
      <w:r w:rsidR="005103B0" w:rsidRPr="001D0BE9">
        <w:rPr>
          <w:rFonts w:cs="Times New Roman"/>
        </w:rPr>
        <w:t xml:space="preserve"> </w:t>
      </w:r>
      <w:r w:rsidRPr="001D0BE9">
        <w:rPr>
          <w:rFonts w:cs="Times New Roman"/>
        </w:rPr>
        <w:t xml:space="preserve">coniecturalis est. </w:t>
      </w:r>
    </w:p>
    <w:p w14:paraId="4B8FEDBF" w14:textId="7568D456" w:rsidR="005103B0" w:rsidRPr="001D0BE9" w:rsidRDefault="00FA6441" w:rsidP="00124880">
      <w:pPr>
        <w:spacing w:line="480" w:lineRule="auto"/>
        <w:rPr>
          <w:rFonts w:cs="Times New Roman"/>
        </w:rPr>
      </w:pPr>
      <w:r w:rsidRPr="001D0BE9">
        <w:rPr>
          <w:rFonts w:cs="Times New Roman"/>
        </w:rPr>
        <w:t>¶ Est ergo prophecia rerum latencium ex diuina</w:t>
      </w:r>
      <w:r w:rsidR="005103B0" w:rsidRPr="001D0BE9">
        <w:rPr>
          <w:rFonts w:cs="Times New Roman"/>
        </w:rPr>
        <w:t xml:space="preserve"> </w:t>
      </w:r>
      <w:r w:rsidRPr="001D0BE9">
        <w:rPr>
          <w:rFonts w:cs="Times New Roman"/>
        </w:rPr>
        <w:t xml:space="preserve">inspiracione manifestacio. Et ideo secundum Gregorium, </w:t>
      </w:r>
      <w:r w:rsidRPr="001D0BE9">
        <w:rPr>
          <w:rFonts w:cs="Times New Roman"/>
          <w:i/>
        </w:rPr>
        <w:t>Super Ezechielem</w:t>
      </w:r>
      <w:r w:rsidRPr="001D0BE9">
        <w:rPr>
          <w:rFonts w:cs="Times New Roman"/>
        </w:rPr>
        <w:t>, homilia prima,</w:t>
      </w:r>
      <w:r w:rsidR="00013DBE" w:rsidRPr="001D0BE9">
        <w:rPr>
          <w:rFonts w:cs="Times New Roman"/>
        </w:rPr>
        <w:t xml:space="preserve"> prophetia est non solum quando predicit futura, sed etiam quando prodit</w:t>
      </w:r>
      <w:r w:rsidR="005103B0" w:rsidRPr="001D0BE9">
        <w:rPr>
          <w:rFonts w:cs="Times New Roman"/>
        </w:rPr>
        <w:t xml:space="preserve"> </w:t>
      </w:r>
      <w:r w:rsidR="00013DBE" w:rsidRPr="001D0BE9">
        <w:rPr>
          <w:rFonts w:cs="Times New Roman"/>
        </w:rPr>
        <w:t>occulta. Et potest esse de prelato ut ibi in principio creauit</w:t>
      </w:r>
      <w:r w:rsidR="005103B0" w:rsidRPr="001D0BE9">
        <w:rPr>
          <w:rFonts w:cs="Times New Roman"/>
        </w:rPr>
        <w:t xml:space="preserve"> </w:t>
      </w:r>
      <w:r w:rsidR="00013DBE" w:rsidRPr="001D0BE9">
        <w:rPr>
          <w:rFonts w:cs="Times New Roman"/>
        </w:rPr>
        <w:t>Deus celum et terram et de presenti quando animus</w:t>
      </w:r>
      <w:r w:rsidR="008D2A77" w:rsidRPr="001D0BE9">
        <w:rPr>
          <w:rFonts w:cs="Times New Roman"/>
        </w:rPr>
        <w:t xml:space="preserve"> Elysei erat</w:t>
      </w:r>
      <w:r w:rsidR="005103B0" w:rsidRPr="001D0BE9">
        <w:rPr>
          <w:rFonts w:cs="Times New Roman"/>
        </w:rPr>
        <w:t xml:space="preserve"> </w:t>
      </w:r>
      <w:r w:rsidR="008D2A77" w:rsidRPr="001D0BE9">
        <w:rPr>
          <w:rFonts w:cs="Times New Roman"/>
        </w:rPr>
        <w:t>presens in sancto Giezi,</w:t>
      </w:r>
      <w:r w:rsidR="00013DBE" w:rsidRPr="001D0BE9">
        <w:rPr>
          <w:rFonts w:cs="Times New Roman"/>
        </w:rPr>
        <w:t xml:space="preserve"> </w:t>
      </w:r>
      <w:r w:rsidR="008D2A77" w:rsidRPr="001D0BE9">
        <w:rPr>
          <w:rFonts w:cs="Times New Roman"/>
        </w:rPr>
        <w:t xml:space="preserve">[4 Reg. 5:26]. </w:t>
      </w:r>
    </w:p>
    <w:p w14:paraId="6BA09AD7" w14:textId="77777777" w:rsidR="008D2A77" w:rsidRPr="001D0BE9" w:rsidRDefault="008D2A77" w:rsidP="00124880">
      <w:pPr>
        <w:spacing w:line="480" w:lineRule="auto"/>
        <w:rPr>
          <w:rFonts w:cs="Times New Roman"/>
        </w:rPr>
      </w:pPr>
      <w:r w:rsidRPr="001D0BE9">
        <w:rPr>
          <w:rFonts w:cs="Times New Roman"/>
        </w:rPr>
        <w:t xml:space="preserve">¶ Et in istis duobus casibus prophecia </w:t>
      </w:r>
      <w:r w:rsidR="000455FE" w:rsidRPr="001D0BE9">
        <w:rPr>
          <w:rFonts w:cs="Times New Roman"/>
        </w:rPr>
        <w:t>perdit ethimologiam</w:t>
      </w:r>
      <w:r w:rsidRPr="001D0BE9">
        <w:rPr>
          <w:rFonts w:cs="Times New Roman"/>
        </w:rPr>
        <w:t xml:space="preserve"> nominis sui</w:t>
      </w:r>
      <w:r w:rsidR="000458AB" w:rsidRPr="001D0BE9">
        <w:rPr>
          <w:rFonts w:cs="Times New Roman"/>
        </w:rPr>
        <w:t>,</w:t>
      </w:r>
      <w:r w:rsidRPr="001D0BE9">
        <w:rPr>
          <w:rFonts w:cs="Times New Roman"/>
        </w:rPr>
        <w:t xml:space="preserve"> quia tunc non propheantur quod futurum est</w:t>
      </w:r>
      <w:r w:rsidR="000455FE" w:rsidRPr="001D0BE9">
        <w:rPr>
          <w:rFonts w:cs="Times New Roman"/>
        </w:rPr>
        <w:t>.</w:t>
      </w:r>
      <w:r w:rsidR="005103B0" w:rsidRPr="001D0BE9">
        <w:rPr>
          <w:rFonts w:cs="Times New Roman"/>
        </w:rPr>
        <w:t xml:space="preserve"> </w:t>
      </w:r>
      <w:r w:rsidRPr="001D0BE9">
        <w:rPr>
          <w:rFonts w:cs="Times New Roman"/>
        </w:rPr>
        <w:t>/f.94vb/</w:t>
      </w:r>
    </w:p>
    <w:p w14:paraId="0B611DE0" w14:textId="77777777" w:rsidR="005103B0" w:rsidRPr="001D0BE9" w:rsidRDefault="008D2A77" w:rsidP="00124880">
      <w:pPr>
        <w:spacing w:line="480" w:lineRule="auto"/>
        <w:rPr>
          <w:rFonts w:cs="Times New Roman"/>
        </w:rPr>
      </w:pPr>
      <w:r w:rsidRPr="001D0BE9">
        <w:rPr>
          <w:rFonts w:cs="Times New Roman"/>
        </w:rPr>
        <w:lastRenderedPageBreak/>
        <w:t>¶ Item</w:t>
      </w:r>
      <w:r w:rsidR="000458AB" w:rsidRPr="001D0BE9">
        <w:rPr>
          <w:rFonts w:cs="Times New Roman"/>
        </w:rPr>
        <w:t>,</w:t>
      </w:r>
      <w:r w:rsidRPr="001D0BE9">
        <w:rPr>
          <w:rFonts w:cs="Times New Roman"/>
        </w:rPr>
        <w:t xml:space="preserve"> notandum quod </w:t>
      </w:r>
      <w:r w:rsidR="000455FE" w:rsidRPr="001D0BE9">
        <w:rPr>
          <w:rFonts w:cs="Times New Roman"/>
        </w:rPr>
        <w:t xml:space="preserve">spiritus prophetie aliquando </w:t>
      </w:r>
      <w:r w:rsidR="000458AB" w:rsidRPr="001D0BE9">
        <w:rPr>
          <w:rFonts w:cs="Times New Roman"/>
        </w:rPr>
        <w:t>menti prophete</w:t>
      </w:r>
      <w:r w:rsidR="000455FE" w:rsidRPr="001D0BE9">
        <w:rPr>
          <w:rFonts w:cs="Times New Roman"/>
        </w:rPr>
        <w:t xml:space="preserve"> deest</w:t>
      </w:r>
      <w:r w:rsidR="000458AB" w:rsidRPr="001D0BE9">
        <w:rPr>
          <w:rFonts w:cs="Times New Roman"/>
        </w:rPr>
        <w:t>,</w:t>
      </w:r>
      <w:r w:rsidR="000455FE" w:rsidRPr="001D0BE9">
        <w:rPr>
          <w:rFonts w:cs="Times New Roman"/>
        </w:rPr>
        <w:t xml:space="preserve"> non</w:t>
      </w:r>
      <w:r w:rsidR="005103B0" w:rsidRPr="001D0BE9">
        <w:rPr>
          <w:rFonts w:cs="Times New Roman"/>
        </w:rPr>
        <w:t xml:space="preserve"> </w:t>
      </w:r>
      <w:r w:rsidR="000455FE" w:rsidRPr="001D0BE9">
        <w:rPr>
          <w:rFonts w:cs="Times New Roman"/>
        </w:rPr>
        <w:t>semper presto est. Ideo</w:t>
      </w:r>
      <w:r w:rsidR="000458AB" w:rsidRPr="001D0BE9">
        <w:rPr>
          <w:rFonts w:cs="Times New Roman"/>
        </w:rPr>
        <w:t>,</w:t>
      </w:r>
      <w:r w:rsidR="000455FE" w:rsidRPr="001D0BE9">
        <w:rPr>
          <w:rFonts w:cs="Times New Roman"/>
        </w:rPr>
        <w:t xml:space="preserve"> prophetia pocius dic</w:t>
      </w:r>
      <w:r w:rsidR="005103B0" w:rsidRPr="001D0BE9">
        <w:rPr>
          <w:rFonts w:cs="Times New Roman"/>
        </w:rPr>
        <w:t>itur actus pro tempore dispensa</w:t>
      </w:r>
      <w:r w:rsidR="000455FE" w:rsidRPr="001D0BE9">
        <w:rPr>
          <w:rFonts w:cs="Times New Roman"/>
        </w:rPr>
        <w:t>tiue</w:t>
      </w:r>
      <w:r w:rsidR="000458AB" w:rsidRPr="001D0BE9">
        <w:rPr>
          <w:rFonts w:cs="Times New Roman"/>
        </w:rPr>
        <w:t>,</w:t>
      </w:r>
      <w:r w:rsidR="000455FE" w:rsidRPr="001D0BE9">
        <w:rPr>
          <w:rFonts w:cs="Times New Roman"/>
        </w:rPr>
        <w:t xml:space="preserve"> accomodatus quam habitus</w:t>
      </w:r>
      <w:r w:rsidR="000458AB" w:rsidRPr="001D0BE9">
        <w:rPr>
          <w:rFonts w:cs="Times New Roman"/>
        </w:rPr>
        <w:t>,</w:t>
      </w:r>
      <w:r w:rsidR="000455FE" w:rsidRPr="001D0BE9">
        <w:rPr>
          <w:rFonts w:cs="Times New Roman"/>
        </w:rPr>
        <w:t xml:space="preserve"> quatinus cum illum spiritum prophetie</w:t>
      </w:r>
      <w:r w:rsidR="005103B0" w:rsidRPr="001D0BE9">
        <w:rPr>
          <w:rFonts w:cs="Times New Roman"/>
        </w:rPr>
        <w:t xml:space="preserve"> </w:t>
      </w:r>
      <w:r w:rsidR="000455FE" w:rsidRPr="001D0BE9">
        <w:rPr>
          <w:rFonts w:cs="Times New Roman"/>
        </w:rPr>
        <w:t>non habent</w:t>
      </w:r>
      <w:r w:rsidR="00460C2E" w:rsidRPr="001D0BE9">
        <w:rPr>
          <w:rFonts w:cs="Times New Roman"/>
        </w:rPr>
        <w:t>,</w:t>
      </w:r>
      <w:r w:rsidR="000455FE" w:rsidRPr="001D0BE9">
        <w:rPr>
          <w:rFonts w:cs="Times New Roman"/>
        </w:rPr>
        <w:t xml:space="preserve"> cognoscunt se ex dono habere quod habent. Vnde et Elyseus dixit ad Giezi [4 Reg. 4:27]: </w:t>
      </w:r>
      <w:r w:rsidR="000455FE" w:rsidRPr="001D0BE9">
        <w:rPr>
          <w:rFonts w:cs="Times New Roman"/>
          <w:i/>
        </w:rPr>
        <w:t>D</w:t>
      </w:r>
      <w:r w:rsidR="005103B0" w:rsidRPr="001D0BE9">
        <w:rPr>
          <w:rFonts w:cs="Times New Roman"/>
          <w:i/>
        </w:rPr>
        <w:t>ominus celauit a me et non indi</w:t>
      </w:r>
      <w:r w:rsidR="000455FE" w:rsidRPr="001D0BE9">
        <w:rPr>
          <w:rFonts w:cs="Times New Roman"/>
          <w:i/>
        </w:rPr>
        <w:t>cauit michi</w:t>
      </w:r>
      <w:r w:rsidR="000455FE" w:rsidRPr="001D0BE9">
        <w:rPr>
          <w:rFonts w:cs="Times New Roman"/>
        </w:rPr>
        <w:t>. Et Amos [7:14] propheta spiritu absente dixit,</w:t>
      </w:r>
      <w:r w:rsidR="007100E0" w:rsidRPr="001D0BE9">
        <w:rPr>
          <w:rFonts w:cs="Times New Roman"/>
        </w:rPr>
        <w:t xml:space="preserve"> </w:t>
      </w:r>
      <w:r w:rsidR="007100E0" w:rsidRPr="001D0BE9">
        <w:rPr>
          <w:rFonts w:cs="Times New Roman"/>
          <w:i/>
        </w:rPr>
        <w:t>N</w:t>
      </w:r>
      <w:r w:rsidR="000455FE" w:rsidRPr="001D0BE9">
        <w:rPr>
          <w:rFonts w:cs="Times New Roman"/>
          <w:i/>
        </w:rPr>
        <w:t>on sum</w:t>
      </w:r>
      <w:r w:rsidR="005103B0" w:rsidRPr="001D0BE9">
        <w:rPr>
          <w:rFonts w:cs="Times New Roman"/>
          <w:i/>
        </w:rPr>
        <w:t xml:space="preserve"> </w:t>
      </w:r>
      <w:r w:rsidR="000455FE" w:rsidRPr="001D0BE9">
        <w:rPr>
          <w:rFonts w:cs="Times New Roman"/>
          <w:i/>
        </w:rPr>
        <w:t>propheta</w:t>
      </w:r>
      <w:r w:rsidR="000455FE" w:rsidRPr="001D0BE9">
        <w:rPr>
          <w:rFonts w:cs="Times New Roman"/>
        </w:rPr>
        <w:t xml:space="preserve">, quasi dicens, non </w:t>
      </w:r>
      <w:r w:rsidR="007100E0" w:rsidRPr="001D0BE9">
        <w:rPr>
          <w:rFonts w:cs="Times New Roman"/>
        </w:rPr>
        <w:t xml:space="preserve">habeo modo spiritum prophecie. </w:t>
      </w:r>
    </w:p>
    <w:p w14:paraId="27C3BFEA" w14:textId="4ACFD516" w:rsidR="005103B0" w:rsidRPr="001D0BE9" w:rsidRDefault="005103B0" w:rsidP="00124880">
      <w:pPr>
        <w:spacing w:line="480" w:lineRule="auto"/>
        <w:rPr>
          <w:rFonts w:cs="Times New Roman"/>
        </w:rPr>
      </w:pPr>
      <w:r w:rsidRPr="001D0BE9">
        <w:rPr>
          <w:rFonts w:cs="Times New Roman"/>
        </w:rPr>
        <w:t>¶ Christus igitur sig</w:t>
      </w:r>
      <w:r w:rsidR="007100E0" w:rsidRPr="001D0BE9">
        <w:rPr>
          <w:rFonts w:cs="Times New Roman"/>
        </w:rPr>
        <w:t>nanter dicitur propheta. Primo</w:t>
      </w:r>
      <w:r w:rsidRPr="001D0BE9">
        <w:rPr>
          <w:rFonts w:cs="Times New Roman"/>
        </w:rPr>
        <w:t>,</w:t>
      </w:r>
      <w:r w:rsidR="007100E0" w:rsidRPr="001D0BE9">
        <w:rPr>
          <w:rFonts w:cs="Times New Roman"/>
        </w:rPr>
        <w:t xml:space="preserve"> quia intellectorum secretorum. Nam</w:t>
      </w:r>
      <w:r w:rsidRPr="001D0BE9">
        <w:rPr>
          <w:rFonts w:cs="Times New Roman"/>
        </w:rPr>
        <w:t xml:space="preserve"> </w:t>
      </w:r>
      <w:r w:rsidR="007100E0" w:rsidRPr="001D0BE9">
        <w:rPr>
          <w:rFonts w:cs="Times New Roman"/>
        </w:rPr>
        <w:t>Deus scientia. Autem Deus scrutans renes, et corda, [Apoc. 2:23]. Cuius oculi</w:t>
      </w:r>
      <w:r w:rsidRPr="001D0BE9">
        <w:rPr>
          <w:rFonts w:cs="Times New Roman"/>
        </w:rPr>
        <w:t xml:space="preserve"> </w:t>
      </w:r>
      <w:r w:rsidR="007100E0" w:rsidRPr="001D0BE9">
        <w:rPr>
          <w:rFonts w:cs="Times New Roman"/>
        </w:rPr>
        <w:t>omnia sunt</w:t>
      </w:r>
      <w:r w:rsidR="001D0BE9" w:rsidRPr="001D0BE9">
        <w:rPr>
          <w:rStyle w:val="EndnoteReference"/>
          <w:rFonts w:cs="Times New Roman"/>
        </w:rPr>
        <w:endnoteReference w:id="2"/>
      </w:r>
      <w:r w:rsidR="007100E0" w:rsidRPr="001D0BE9">
        <w:rPr>
          <w:rFonts w:cs="Times New Roman"/>
        </w:rPr>
        <w:t xml:space="preserve"> nuda et aperta cuius sermo viuus</w:t>
      </w:r>
      <w:r w:rsidRPr="001D0BE9">
        <w:rPr>
          <w:rFonts w:cs="Times New Roman"/>
        </w:rPr>
        <w:t xml:space="preserve"> </w:t>
      </w:r>
      <w:r w:rsidR="007100E0" w:rsidRPr="001D0BE9">
        <w:rPr>
          <w:rFonts w:cs="Times New Roman"/>
        </w:rPr>
        <w:t xml:space="preserve">et efficarum pene trabilior omni gladio aucipiti. </w:t>
      </w:r>
    </w:p>
    <w:p w14:paraId="1BA64DED" w14:textId="3ACB7A4B" w:rsidR="005103B0" w:rsidRPr="001D0BE9" w:rsidRDefault="007100E0" w:rsidP="00124880">
      <w:pPr>
        <w:spacing w:line="480" w:lineRule="auto"/>
        <w:rPr>
          <w:rFonts w:cs="Times New Roman"/>
        </w:rPr>
      </w:pPr>
      <w:r w:rsidRPr="001D0BE9">
        <w:rPr>
          <w:rFonts w:cs="Times New Roman"/>
        </w:rPr>
        <w:t>Secundo</w:t>
      </w:r>
      <w:r w:rsidR="005103B0" w:rsidRPr="001D0BE9">
        <w:rPr>
          <w:rFonts w:cs="Times New Roman"/>
        </w:rPr>
        <w:t>,</w:t>
      </w:r>
      <w:r w:rsidRPr="001D0BE9">
        <w:rPr>
          <w:rFonts w:cs="Times New Roman"/>
        </w:rPr>
        <w:t xml:space="preserve"> quia</w:t>
      </w:r>
      <w:r w:rsidR="005103B0" w:rsidRPr="001D0BE9">
        <w:rPr>
          <w:rFonts w:cs="Times New Roman"/>
        </w:rPr>
        <w:t xml:space="preserve"> </w:t>
      </w:r>
      <w:r w:rsidRPr="001D0BE9">
        <w:rPr>
          <w:rFonts w:cs="Times New Roman"/>
        </w:rPr>
        <w:t>reuelator occultorum. Vnde ipse dicit in Johan. [15:15]</w:t>
      </w:r>
      <w:r w:rsidR="00D95469" w:rsidRPr="001D0BE9">
        <w:rPr>
          <w:rFonts w:cs="Times New Roman"/>
        </w:rPr>
        <w:t>:</w:t>
      </w:r>
      <w:r w:rsidRPr="001D0BE9">
        <w:rPr>
          <w:rFonts w:cs="Times New Roman"/>
        </w:rPr>
        <w:t xml:space="preserve"> </w:t>
      </w:r>
      <w:r w:rsidR="00D95469" w:rsidRPr="001D0BE9">
        <w:rPr>
          <w:rFonts w:cs="Times New Roman"/>
          <w:i/>
        </w:rPr>
        <w:t>O</w:t>
      </w:r>
      <w:r w:rsidRPr="001D0BE9">
        <w:rPr>
          <w:rFonts w:cs="Times New Roman"/>
          <w:i/>
        </w:rPr>
        <w:t xml:space="preserve">mnia </w:t>
      </w:r>
      <w:r w:rsidRPr="001D0BE9">
        <w:rPr>
          <w:rFonts w:cs="Times New Roman"/>
        </w:rPr>
        <w:t>quæ</w:t>
      </w:r>
      <w:r w:rsidR="00D95469" w:rsidRPr="001D0BE9">
        <w:rPr>
          <w:rFonts w:cs="Times New Roman"/>
        </w:rPr>
        <w:t xml:space="preserve"> </w:t>
      </w:r>
      <w:r w:rsidRPr="001D0BE9">
        <w:rPr>
          <w:rFonts w:cs="Times New Roman"/>
          <w:i/>
        </w:rPr>
        <w:t>audivi a Patre meo, nota feci vobis</w:t>
      </w:r>
      <w:r w:rsidRPr="001D0BE9">
        <w:rPr>
          <w:rFonts w:cs="Times New Roman"/>
        </w:rPr>
        <w:t>.</w:t>
      </w:r>
      <w:r w:rsidR="001D0BE9" w:rsidRPr="001D0BE9">
        <w:rPr>
          <w:rStyle w:val="EndnoteReference"/>
          <w:rFonts w:cs="Times New Roman"/>
        </w:rPr>
        <w:endnoteReference w:id="3"/>
      </w:r>
      <w:r w:rsidR="00D95469" w:rsidRPr="001D0BE9">
        <w:rPr>
          <w:rFonts w:cs="Times New Roman"/>
        </w:rPr>
        <w:t xml:space="preserve"> </w:t>
      </w:r>
    </w:p>
    <w:p w14:paraId="56082F60" w14:textId="77777777" w:rsidR="005103B0" w:rsidRPr="001D0BE9" w:rsidRDefault="00D95469" w:rsidP="00124880">
      <w:pPr>
        <w:spacing w:line="480" w:lineRule="auto"/>
        <w:rPr>
          <w:rFonts w:cs="Times New Roman"/>
        </w:rPr>
      </w:pPr>
      <w:r w:rsidRPr="001D0BE9">
        <w:rPr>
          <w:rFonts w:cs="Times New Roman"/>
        </w:rPr>
        <w:t>¶ Tercio</w:t>
      </w:r>
      <w:r w:rsidR="005103B0" w:rsidRPr="001D0BE9">
        <w:rPr>
          <w:rFonts w:cs="Times New Roman"/>
        </w:rPr>
        <w:t>,</w:t>
      </w:r>
      <w:r w:rsidRPr="001D0BE9">
        <w:rPr>
          <w:rFonts w:cs="Times New Roman"/>
        </w:rPr>
        <w:t xml:space="preserve"> quia pronunciator futurorum. Vnde</w:t>
      </w:r>
      <w:r w:rsidR="005103B0" w:rsidRPr="001D0BE9">
        <w:rPr>
          <w:rFonts w:cs="Times New Roman"/>
        </w:rPr>
        <w:t xml:space="preserve"> </w:t>
      </w:r>
      <w:r w:rsidRPr="001D0BE9">
        <w:rPr>
          <w:rFonts w:cs="Times New Roman"/>
        </w:rPr>
        <w:t xml:space="preserve">in Johan. [14:29]: Predixi </w:t>
      </w:r>
      <w:r w:rsidRPr="001D0BE9">
        <w:rPr>
          <w:rFonts w:cs="Times New Roman"/>
          <w:i/>
        </w:rPr>
        <w:t>vobis</w:t>
      </w:r>
      <w:r w:rsidRPr="001D0BE9">
        <w:rPr>
          <w:rFonts w:cs="Times New Roman"/>
        </w:rPr>
        <w:t xml:space="preserve"> antequam </w:t>
      </w:r>
      <w:r w:rsidRPr="001D0BE9">
        <w:rPr>
          <w:rFonts w:cs="Times New Roman"/>
          <w:i/>
        </w:rPr>
        <w:t>fi</w:t>
      </w:r>
      <w:r w:rsidR="005103B0" w:rsidRPr="001D0BE9">
        <w:rPr>
          <w:rFonts w:cs="Times New Roman"/>
          <w:i/>
        </w:rPr>
        <w:t>at: ut cum factum fuerit, creda</w:t>
      </w:r>
      <w:r w:rsidRPr="001D0BE9">
        <w:rPr>
          <w:rFonts w:cs="Times New Roman"/>
          <w:i/>
        </w:rPr>
        <w:t>tis</w:t>
      </w:r>
      <w:r w:rsidRPr="001D0BE9">
        <w:rPr>
          <w:rFonts w:cs="Times New Roman"/>
        </w:rPr>
        <w:t>. Et dicitur Christus propheta magnus non solum quod Dominus propheta</w:t>
      </w:r>
      <w:r w:rsidR="005103B0" w:rsidRPr="001D0BE9">
        <w:rPr>
          <w:rFonts w:cs="Times New Roman"/>
        </w:rPr>
        <w:t xml:space="preserve">, </w:t>
      </w:r>
      <w:r w:rsidRPr="001D0BE9">
        <w:rPr>
          <w:rFonts w:cs="Times New Roman"/>
        </w:rPr>
        <w:t>sed quia totum spiritum accepit quem habet in He</w:t>
      </w:r>
      <w:r w:rsidR="00322B73" w:rsidRPr="001D0BE9">
        <w:rPr>
          <w:rFonts w:cs="Times New Roman"/>
        </w:rPr>
        <w:t xml:space="preserve">b. [13.14]: </w:t>
      </w:r>
      <w:r w:rsidR="00322B73" w:rsidRPr="001D0BE9">
        <w:rPr>
          <w:rFonts w:cs="Times New Roman"/>
          <w:i/>
        </w:rPr>
        <w:t>Manentem</w:t>
      </w:r>
      <w:r w:rsidR="00322B73" w:rsidRPr="001D0BE9">
        <w:rPr>
          <w:rFonts w:cs="Times New Roman"/>
        </w:rPr>
        <w:t>. Cui datus</w:t>
      </w:r>
      <w:r w:rsidR="005103B0" w:rsidRPr="001D0BE9">
        <w:rPr>
          <w:rFonts w:cs="Times New Roman"/>
        </w:rPr>
        <w:t xml:space="preserve"> </w:t>
      </w:r>
      <w:r w:rsidR="00322B73" w:rsidRPr="001D0BE9">
        <w:rPr>
          <w:rFonts w:cs="Times New Roman"/>
        </w:rPr>
        <w:t>est spiritus sine mensura in quo plenitudo diuinitatis habitat</w:t>
      </w:r>
      <w:r w:rsidR="005103B0" w:rsidRPr="001D0BE9">
        <w:rPr>
          <w:rFonts w:cs="Times New Roman"/>
        </w:rPr>
        <w:t xml:space="preserve"> </w:t>
      </w:r>
      <w:r w:rsidR="00322B73" w:rsidRPr="001D0BE9">
        <w:rPr>
          <w:rFonts w:cs="Times New Roman"/>
        </w:rPr>
        <w:t xml:space="preserve">corporaliter. </w:t>
      </w:r>
    </w:p>
    <w:p w14:paraId="130E4B25" w14:textId="77777777" w:rsidR="00F9337E" w:rsidRPr="001D0BE9" w:rsidRDefault="00322B73" w:rsidP="00124880">
      <w:pPr>
        <w:spacing w:line="480" w:lineRule="auto"/>
        <w:rPr>
          <w:rFonts w:cs="Times New Roman"/>
        </w:rPr>
      </w:pPr>
      <w:r w:rsidRPr="001D0BE9">
        <w:rPr>
          <w:rFonts w:cs="Times New Roman"/>
        </w:rPr>
        <w:t>¶ Ceteri de plenitudine eius acceperunt et ad horam</w:t>
      </w:r>
      <w:r w:rsidR="005103B0" w:rsidRPr="001D0BE9">
        <w:rPr>
          <w:rFonts w:cs="Times New Roman"/>
        </w:rPr>
        <w:t xml:space="preserve"> qu</w:t>
      </w:r>
      <w:r w:rsidRPr="001D0BE9">
        <w:rPr>
          <w:rFonts w:cs="Times New Roman"/>
        </w:rPr>
        <w:t>ia vnguentum descendit a capite in barbam et unde</w:t>
      </w:r>
      <w:r w:rsidR="005103B0" w:rsidRPr="001D0BE9">
        <w:rPr>
          <w:rFonts w:cs="Times New Roman"/>
        </w:rPr>
        <w:t xml:space="preserve"> </w:t>
      </w:r>
      <w:r w:rsidRPr="001D0BE9">
        <w:rPr>
          <w:rFonts w:cs="Times New Roman"/>
        </w:rPr>
        <w:t>in oram vestimenti veniet ergo propheta magnus de quo dicitur</w:t>
      </w:r>
      <w:r w:rsidR="005103B0" w:rsidRPr="001D0BE9">
        <w:rPr>
          <w:rFonts w:cs="Times New Roman"/>
        </w:rPr>
        <w:t xml:space="preserve"> </w:t>
      </w:r>
      <w:r w:rsidR="00F9337E" w:rsidRPr="001D0BE9">
        <w:rPr>
          <w:rFonts w:cs="Times New Roman"/>
        </w:rPr>
        <w:t xml:space="preserve">in Deut. [18:15]: </w:t>
      </w:r>
      <w:r w:rsidR="00F9337E" w:rsidRPr="001D0BE9">
        <w:rPr>
          <w:rFonts w:cs="Times New Roman"/>
          <w:i/>
        </w:rPr>
        <w:t>Prophetam suscitabit</w:t>
      </w:r>
      <w:r w:rsidR="00F9337E" w:rsidRPr="001D0BE9">
        <w:rPr>
          <w:rFonts w:cs="Times New Roman"/>
        </w:rPr>
        <w:t xml:space="preserve"> vobis </w:t>
      </w:r>
      <w:r w:rsidR="00F9337E" w:rsidRPr="001D0BE9">
        <w:rPr>
          <w:rFonts w:cs="Times New Roman"/>
          <w:i/>
        </w:rPr>
        <w:t>Deus de fratribus</w:t>
      </w:r>
      <w:r w:rsidR="00F9337E" w:rsidRPr="001D0BE9">
        <w:rPr>
          <w:rFonts w:cs="Times New Roman"/>
        </w:rPr>
        <w:t xml:space="preserve"> vestris. </w:t>
      </w:r>
    </w:p>
    <w:sectPr w:rsidR="00F9337E" w:rsidRPr="001D0BE9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23619" w14:textId="77777777" w:rsidR="00A00545" w:rsidRDefault="00A00545" w:rsidP="00CC6A4F">
      <w:pPr>
        <w:spacing w:after="0" w:line="240" w:lineRule="auto"/>
      </w:pPr>
      <w:r>
        <w:separator/>
      </w:r>
    </w:p>
  </w:endnote>
  <w:endnote w:type="continuationSeparator" w:id="0">
    <w:p w14:paraId="755FF0B1" w14:textId="77777777" w:rsidR="00A00545" w:rsidRDefault="00A00545" w:rsidP="00CC6A4F">
      <w:pPr>
        <w:spacing w:after="0" w:line="240" w:lineRule="auto"/>
      </w:pPr>
      <w:r>
        <w:continuationSeparator/>
      </w:r>
    </w:p>
  </w:endnote>
  <w:endnote w:id="1">
    <w:p w14:paraId="5B41937E" w14:textId="012C48A5" w:rsidR="001D0BE9" w:rsidRPr="001D0BE9" w:rsidRDefault="001D0BE9">
      <w:pPr>
        <w:pStyle w:val="EndnoteText"/>
        <w:rPr>
          <w:rFonts w:cs="Times New Roman"/>
          <w:sz w:val="24"/>
          <w:szCs w:val="24"/>
        </w:rPr>
      </w:pPr>
      <w:r w:rsidRPr="001D0BE9">
        <w:rPr>
          <w:rStyle w:val="EndnoteReference"/>
          <w:rFonts w:cs="Times New Roman"/>
          <w:sz w:val="24"/>
          <w:szCs w:val="24"/>
        </w:rPr>
        <w:endnoteRef/>
      </w:r>
      <w:r w:rsidRPr="001D0BE9">
        <w:rPr>
          <w:rFonts w:cs="Times New Roman"/>
          <w:sz w:val="24"/>
          <w:szCs w:val="24"/>
        </w:rPr>
        <w:t xml:space="preserve"> </w:t>
      </w:r>
      <w:proofErr w:type="gramStart"/>
      <w:r w:rsidRPr="001D0BE9">
        <w:rPr>
          <w:rFonts w:cs="Times New Roman"/>
          <w:sz w:val="24"/>
          <w:szCs w:val="24"/>
        </w:rPr>
        <w:t>quo ]</w:t>
      </w:r>
      <w:proofErr w:type="gramEnd"/>
      <w:r w:rsidRPr="001D0BE9">
        <w:rPr>
          <w:rFonts w:cs="Times New Roman"/>
          <w:sz w:val="24"/>
          <w:szCs w:val="24"/>
        </w:rPr>
        <w:t xml:space="preserve"> </w:t>
      </w:r>
      <w:r w:rsidRPr="001D0BE9">
        <w:rPr>
          <w:rFonts w:cs="Times New Roman"/>
          <w:i/>
          <w:iCs/>
          <w:sz w:val="24"/>
          <w:szCs w:val="24"/>
        </w:rPr>
        <w:t>add</w:t>
      </w:r>
      <w:r w:rsidRPr="001D0BE9">
        <w:rPr>
          <w:rFonts w:cs="Times New Roman"/>
          <w:sz w:val="24"/>
          <w:szCs w:val="24"/>
        </w:rPr>
        <w:t xml:space="preserve">. </w:t>
      </w:r>
      <w:r w:rsidRPr="001D0BE9">
        <w:rPr>
          <w:rFonts w:cs="Times New Roman"/>
          <w:strike/>
          <w:sz w:val="24"/>
          <w:szCs w:val="24"/>
        </w:rPr>
        <w:t>ad</w:t>
      </w:r>
      <w:r w:rsidRPr="001D0BE9">
        <w:rPr>
          <w:rFonts w:cs="Times New Roman"/>
          <w:sz w:val="24"/>
          <w:szCs w:val="24"/>
        </w:rPr>
        <w:t xml:space="preserve"> F.128.</w:t>
      </w:r>
    </w:p>
    <w:p w14:paraId="1AEB98B7" w14:textId="77777777" w:rsidR="001D0BE9" w:rsidRPr="001D0BE9" w:rsidRDefault="001D0BE9">
      <w:pPr>
        <w:pStyle w:val="EndnoteText"/>
        <w:rPr>
          <w:rFonts w:cs="Times New Roman"/>
          <w:sz w:val="24"/>
          <w:szCs w:val="24"/>
        </w:rPr>
      </w:pPr>
    </w:p>
  </w:endnote>
  <w:endnote w:id="2">
    <w:p w14:paraId="6E32B69F" w14:textId="333535A7" w:rsidR="001D0BE9" w:rsidRPr="001D0BE9" w:rsidRDefault="001D0BE9">
      <w:pPr>
        <w:pStyle w:val="EndnoteText"/>
        <w:rPr>
          <w:rFonts w:cs="Times New Roman"/>
          <w:sz w:val="24"/>
          <w:szCs w:val="24"/>
        </w:rPr>
      </w:pPr>
      <w:r w:rsidRPr="001D0BE9">
        <w:rPr>
          <w:rStyle w:val="EndnoteReference"/>
          <w:rFonts w:cs="Times New Roman"/>
          <w:sz w:val="24"/>
          <w:szCs w:val="24"/>
        </w:rPr>
        <w:endnoteRef/>
      </w:r>
      <w:r w:rsidRPr="001D0BE9">
        <w:rPr>
          <w:rFonts w:cs="Times New Roman"/>
          <w:sz w:val="24"/>
          <w:szCs w:val="24"/>
        </w:rPr>
        <w:t xml:space="preserve"> </w:t>
      </w:r>
      <w:proofErr w:type="gramStart"/>
      <w:r w:rsidRPr="001D0BE9">
        <w:rPr>
          <w:rFonts w:cs="Times New Roman"/>
          <w:sz w:val="24"/>
          <w:szCs w:val="24"/>
        </w:rPr>
        <w:t>sunt ]</w:t>
      </w:r>
      <w:proofErr w:type="gramEnd"/>
      <w:r w:rsidRPr="001D0BE9">
        <w:rPr>
          <w:rFonts w:cs="Times New Roman"/>
          <w:sz w:val="24"/>
          <w:szCs w:val="24"/>
        </w:rPr>
        <w:t xml:space="preserve"> </w:t>
      </w:r>
      <w:r w:rsidRPr="001D0BE9">
        <w:rPr>
          <w:rFonts w:cs="Times New Roman"/>
          <w:i/>
          <w:iCs/>
          <w:sz w:val="24"/>
          <w:szCs w:val="24"/>
        </w:rPr>
        <w:t>add</w:t>
      </w:r>
      <w:r w:rsidRPr="001D0BE9">
        <w:rPr>
          <w:rFonts w:cs="Times New Roman"/>
          <w:sz w:val="24"/>
          <w:szCs w:val="24"/>
        </w:rPr>
        <w:t xml:space="preserve">. </w:t>
      </w:r>
      <w:r w:rsidRPr="001D0BE9">
        <w:rPr>
          <w:rFonts w:cs="Times New Roman"/>
          <w:strike/>
          <w:sz w:val="24"/>
          <w:szCs w:val="24"/>
        </w:rPr>
        <w:t>scrutans</w:t>
      </w:r>
      <w:r w:rsidRPr="001D0BE9">
        <w:rPr>
          <w:rFonts w:cs="Times New Roman"/>
          <w:sz w:val="24"/>
          <w:szCs w:val="24"/>
        </w:rPr>
        <w:t xml:space="preserve"> F.128.</w:t>
      </w:r>
    </w:p>
    <w:p w14:paraId="17B32450" w14:textId="77777777" w:rsidR="001D0BE9" w:rsidRPr="001D0BE9" w:rsidRDefault="001D0BE9">
      <w:pPr>
        <w:pStyle w:val="EndnoteText"/>
        <w:rPr>
          <w:rFonts w:cs="Times New Roman"/>
          <w:sz w:val="24"/>
          <w:szCs w:val="24"/>
        </w:rPr>
      </w:pPr>
    </w:p>
  </w:endnote>
  <w:endnote w:id="3">
    <w:p w14:paraId="32BA93F9" w14:textId="77777777" w:rsidR="001D0BE9" w:rsidRPr="001D0BE9" w:rsidRDefault="001D0BE9" w:rsidP="001D0BE9">
      <w:pPr>
        <w:spacing w:line="480" w:lineRule="auto"/>
        <w:rPr>
          <w:rFonts w:cs="Times New Roman"/>
          <w:szCs w:val="24"/>
        </w:rPr>
      </w:pPr>
      <w:r w:rsidRPr="001D0BE9">
        <w:rPr>
          <w:rStyle w:val="EndnoteReference"/>
          <w:rFonts w:cs="Times New Roman"/>
          <w:szCs w:val="24"/>
        </w:rPr>
        <w:endnoteRef/>
      </w:r>
      <w:r w:rsidRPr="001D0BE9">
        <w:rPr>
          <w:rFonts w:cs="Times New Roman"/>
          <w:szCs w:val="24"/>
        </w:rPr>
        <w:t xml:space="preserve"> </w:t>
      </w:r>
      <w:proofErr w:type="gramStart"/>
      <w:r w:rsidRPr="001D0BE9">
        <w:rPr>
          <w:rFonts w:cs="Times New Roman"/>
          <w:i/>
          <w:szCs w:val="24"/>
        </w:rPr>
        <w:t>vobis</w:t>
      </w:r>
      <w:r w:rsidRPr="001D0BE9">
        <w:rPr>
          <w:rFonts w:cs="Times New Roman"/>
          <w:szCs w:val="24"/>
        </w:rPr>
        <w:t xml:space="preserve"> ]</w:t>
      </w:r>
      <w:proofErr w:type="gramEnd"/>
      <w:r w:rsidRPr="001D0BE9">
        <w:rPr>
          <w:rFonts w:cs="Times New Roman"/>
          <w:szCs w:val="24"/>
        </w:rPr>
        <w:t xml:space="preserve"> </w:t>
      </w:r>
      <w:r w:rsidRPr="001D0BE9">
        <w:rPr>
          <w:rFonts w:cs="Times New Roman"/>
          <w:i/>
          <w:iCs/>
          <w:szCs w:val="24"/>
        </w:rPr>
        <w:t>add</w:t>
      </w:r>
      <w:r w:rsidRPr="001D0BE9">
        <w:rPr>
          <w:rFonts w:cs="Times New Roman"/>
          <w:szCs w:val="24"/>
        </w:rPr>
        <w:t xml:space="preserve">. </w:t>
      </w:r>
      <w:r w:rsidRPr="001D0BE9">
        <w:rPr>
          <w:rFonts w:cs="Times New Roman"/>
          <w:strike/>
          <w:szCs w:val="24"/>
        </w:rPr>
        <w:t>antequam fiat ut cum factum fuerit</w:t>
      </w:r>
      <w:r w:rsidRPr="001D0BE9">
        <w:rPr>
          <w:rFonts w:cs="Times New Roman"/>
          <w:szCs w:val="24"/>
        </w:rPr>
        <w:t xml:space="preserve"> F.128.</w:t>
      </w:r>
    </w:p>
    <w:p w14:paraId="20B1B120" w14:textId="0E6423B5" w:rsidR="001D0BE9" w:rsidRPr="001D0BE9" w:rsidRDefault="001D0BE9" w:rsidP="001D0BE9">
      <w:pPr>
        <w:spacing w:line="480" w:lineRule="auto"/>
        <w:rPr>
          <w:rFonts w:cs="Times New Roman"/>
          <w:szCs w:val="24"/>
        </w:rPr>
      </w:pPr>
      <w:r w:rsidRPr="001D0BE9">
        <w:rPr>
          <w:rFonts w:cs="Times New Roman"/>
          <w:szCs w:val="24"/>
        </w:rPr>
        <w:t xml:space="preserve"> </w:t>
      </w:r>
    </w:p>
    <w:p w14:paraId="2E9DE41C" w14:textId="5BE4DF5B" w:rsidR="001D0BE9" w:rsidRPr="001D0BE9" w:rsidRDefault="001D0BE9">
      <w:pPr>
        <w:pStyle w:val="EndnoteText"/>
        <w:rPr>
          <w:rFonts w:cs="Times New Roman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0B390" w14:textId="77777777" w:rsidR="00A00545" w:rsidRDefault="00A00545" w:rsidP="00CC6A4F">
      <w:pPr>
        <w:spacing w:after="0" w:line="240" w:lineRule="auto"/>
      </w:pPr>
      <w:r>
        <w:separator/>
      </w:r>
    </w:p>
  </w:footnote>
  <w:footnote w:type="continuationSeparator" w:id="0">
    <w:p w14:paraId="477ADB10" w14:textId="77777777" w:rsidR="00A00545" w:rsidRDefault="00A00545" w:rsidP="00CC6A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E6"/>
    <w:rsid w:val="00013DBE"/>
    <w:rsid w:val="000455FE"/>
    <w:rsid w:val="000458AB"/>
    <w:rsid w:val="000B4BCC"/>
    <w:rsid w:val="00116774"/>
    <w:rsid w:val="00124880"/>
    <w:rsid w:val="001D0BE9"/>
    <w:rsid w:val="001E5696"/>
    <w:rsid w:val="002528D2"/>
    <w:rsid w:val="00281647"/>
    <w:rsid w:val="00322B73"/>
    <w:rsid w:val="00342303"/>
    <w:rsid w:val="00376DBF"/>
    <w:rsid w:val="00382869"/>
    <w:rsid w:val="003D6993"/>
    <w:rsid w:val="00460C2E"/>
    <w:rsid w:val="00463947"/>
    <w:rsid w:val="004E39E6"/>
    <w:rsid w:val="005103B0"/>
    <w:rsid w:val="005B3424"/>
    <w:rsid w:val="006B07AB"/>
    <w:rsid w:val="007100E0"/>
    <w:rsid w:val="00744F5E"/>
    <w:rsid w:val="008D2A77"/>
    <w:rsid w:val="009D4704"/>
    <w:rsid w:val="00A00545"/>
    <w:rsid w:val="00A124F4"/>
    <w:rsid w:val="00A61D16"/>
    <w:rsid w:val="00A63F50"/>
    <w:rsid w:val="00B629B8"/>
    <w:rsid w:val="00B9284F"/>
    <w:rsid w:val="00CC6A4F"/>
    <w:rsid w:val="00D95469"/>
    <w:rsid w:val="00E76C69"/>
    <w:rsid w:val="00F27781"/>
    <w:rsid w:val="00F541F6"/>
    <w:rsid w:val="00F63CB5"/>
    <w:rsid w:val="00F9337E"/>
    <w:rsid w:val="00FA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266F"/>
  <w15:docId w15:val="{C10A6DF0-338B-459B-AFF5-5B688020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FootnoteReference"/>
    <w:uiPriority w:val="31"/>
    <w:qFormat/>
    <w:rsid w:val="00F541F6"/>
    <w:rPr>
      <w:rFonts w:ascii="Courier New" w:hAnsi="Courier New"/>
      <w:caps w:val="0"/>
      <w:smallCaps/>
      <w:color w:val="000000" w:themeColor="text1"/>
      <w:sz w:val="24"/>
      <w:u w:val="single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F541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6A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6A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6A4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99"/>
                <w:bottom w:val="none" w:sz="0" w:space="0" w:color="auto"/>
                <w:right w:val="none" w:sz="0" w:space="0" w:color="auto"/>
              </w:divBdr>
              <w:divsChild>
                <w:div w:id="1881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3135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8167-404D-4B20-855E-90CA4779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Crook</dc:creator>
  <cp:lastModifiedBy>Eugene Crook</cp:lastModifiedBy>
  <cp:revision>2</cp:revision>
  <cp:lastPrinted>2019-04-27T22:41:00Z</cp:lastPrinted>
  <dcterms:created xsi:type="dcterms:W3CDTF">2020-12-13T03:06:00Z</dcterms:created>
  <dcterms:modified xsi:type="dcterms:W3CDTF">2020-12-13T03:06:00Z</dcterms:modified>
</cp:coreProperties>
</file>