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ECC1C" w14:textId="77777777" w:rsidR="00B9284F" w:rsidRPr="0034785C" w:rsidRDefault="00807C4D" w:rsidP="00807C4D">
      <w:pPr>
        <w:spacing w:line="480" w:lineRule="auto"/>
        <w:rPr>
          <w:rFonts w:cs="Times New Roman"/>
        </w:rPr>
      </w:pPr>
      <w:r w:rsidRPr="0034785C">
        <w:rPr>
          <w:rFonts w:cs="Times New Roman"/>
        </w:rPr>
        <w:t>298 Perjury (</w:t>
      </w:r>
      <w:r w:rsidRPr="0034785C">
        <w:rPr>
          <w:rFonts w:cs="Times New Roman"/>
          <w:i/>
        </w:rPr>
        <w:t>Perjurium</w:t>
      </w:r>
      <w:r w:rsidRPr="0034785C">
        <w:rPr>
          <w:rFonts w:cs="Times New Roman"/>
        </w:rPr>
        <w:t>)</w:t>
      </w:r>
    </w:p>
    <w:p w14:paraId="50F90312" w14:textId="591F2936" w:rsidR="00807C4D" w:rsidRPr="0034785C" w:rsidRDefault="00807C4D" w:rsidP="00807C4D">
      <w:pPr>
        <w:spacing w:line="480" w:lineRule="auto"/>
        <w:rPr>
          <w:rFonts w:cs="Times New Roman"/>
        </w:rPr>
      </w:pPr>
      <w:r w:rsidRPr="0034785C">
        <w:rPr>
          <w:rFonts w:cs="Times New Roman"/>
        </w:rPr>
        <w:t>Note here that one</w:t>
      </w:r>
      <w:r w:rsidR="00D95CAB" w:rsidRPr="0034785C">
        <w:rPr>
          <w:rFonts w:cs="Times New Roman"/>
        </w:rPr>
        <w:t xml:space="preserve"> who is perjuring is</w:t>
      </w:r>
      <w:r w:rsidRPr="0034785C">
        <w:rPr>
          <w:rFonts w:cs="Times New Roman"/>
        </w:rPr>
        <w:t xml:space="preserve"> a perjurer. First, he obligates himself to the devil with that hand by which he touches the book, </w:t>
      </w:r>
      <w:r w:rsidR="00D95CAB" w:rsidRPr="0034785C">
        <w:rPr>
          <w:rFonts w:cs="Times New Roman"/>
        </w:rPr>
        <w:t>Prov. 6[:1-2]: “You have engaged fast your hand to a stranger. You ar</w:t>
      </w:r>
      <w:r w:rsidR="0081420B" w:rsidRPr="0034785C">
        <w:rPr>
          <w:rFonts w:cs="Times New Roman"/>
        </w:rPr>
        <w:t>e</w:t>
      </w:r>
      <w:r w:rsidR="00D95CAB" w:rsidRPr="0034785C">
        <w:rPr>
          <w:rFonts w:cs="Times New Roman"/>
        </w:rPr>
        <w:t xml:space="preserve"> ensnared with the words of your mouth.”</w:t>
      </w:r>
      <w:bookmarkStart w:id="0" w:name="_GoBack"/>
      <w:bookmarkEnd w:id="0"/>
    </w:p>
    <w:p w14:paraId="7BF7AC84" w14:textId="77777777" w:rsidR="00D95CAB" w:rsidRPr="0034785C" w:rsidRDefault="00D95CAB" w:rsidP="00807C4D">
      <w:pPr>
        <w:spacing w:line="480" w:lineRule="auto"/>
        <w:rPr>
          <w:rFonts w:cs="Times New Roman"/>
        </w:rPr>
      </w:pPr>
      <w:r w:rsidRPr="0034785C">
        <w:rPr>
          <w:rFonts w:cs="Times New Roman"/>
        </w:rPr>
        <w:t xml:space="preserve">Second, he denies all good things which are contained in that book which he touches if he </w:t>
      </w:r>
      <w:r w:rsidR="008325C3" w:rsidRPr="0034785C">
        <w:rPr>
          <w:rFonts w:cs="Times New Roman"/>
        </w:rPr>
        <w:t>knowingly</w:t>
      </w:r>
      <w:r w:rsidRPr="0034785C">
        <w:rPr>
          <w:rFonts w:cs="Times New Roman"/>
        </w:rPr>
        <w:t xml:space="preserve"> spoke false.</w:t>
      </w:r>
    </w:p>
    <w:p w14:paraId="67A24221" w14:textId="3622E201" w:rsidR="00D95CAB" w:rsidRPr="0034785C" w:rsidRDefault="00D95CAB" w:rsidP="00807C4D">
      <w:pPr>
        <w:spacing w:line="480" w:lineRule="auto"/>
        <w:rPr>
          <w:rFonts w:cs="Times New Roman"/>
        </w:rPr>
      </w:pPr>
      <w:r w:rsidRPr="0034785C">
        <w:rPr>
          <w:rFonts w:cs="Times New Roman"/>
        </w:rPr>
        <w:t>Third, as f</w:t>
      </w:r>
      <w:r w:rsidR="006D0BDC" w:rsidRPr="0034785C">
        <w:rPr>
          <w:rFonts w:cs="Times New Roman"/>
        </w:rPr>
        <w:t>a</w:t>
      </w:r>
      <w:r w:rsidRPr="0034785C">
        <w:rPr>
          <w:rFonts w:cs="Times New Roman"/>
        </w:rPr>
        <w:t xml:space="preserve">r as it concerns himself </w:t>
      </w:r>
      <w:r w:rsidR="0001319A" w:rsidRPr="0034785C">
        <w:rPr>
          <w:rFonts w:cs="Times New Roman"/>
        </w:rPr>
        <w:t>he strives to adduce God as a false witness. Because according to Augustine,</w:t>
      </w:r>
      <w:r w:rsidR="00AE39EE" w:rsidRPr="0034785C">
        <w:rPr>
          <w:rStyle w:val="EndnoteReference"/>
          <w:rFonts w:cs="Times New Roman"/>
        </w:rPr>
        <w:endnoteReference w:id="1"/>
      </w:r>
      <w:r w:rsidR="0001319A" w:rsidRPr="0034785C">
        <w:rPr>
          <w:rFonts w:cs="Times New Roman"/>
        </w:rPr>
        <w:t xml:space="preserve"> </w:t>
      </w:r>
      <w:r w:rsidR="00887BCF" w:rsidRPr="0034785C">
        <w:rPr>
          <w:rFonts w:cs="Times New Roman"/>
        </w:rPr>
        <w:t xml:space="preserve">to swear the aforesaid is </w:t>
      </w:r>
      <w:r w:rsidR="006D0BDC" w:rsidRPr="0034785C">
        <w:rPr>
          <w:rFonts w:cs="Times New Roman"/>
        </w:rPr>
        <w:t xml:space="preserve">to </w:t>
      </w:r>
      <w:r w:rsidR="00887BCF" w:rsidRPr="0034785C">
        <w:rPr>
          <w:rFonts w:cs="Times New Roman"/>
        </w:rPr>
        <w:t>adduce the Lord as a witness. And the Christian offends more when he imposes an evil God of the fault than Judas inferring evil of the fault.</w:t>
      </w:r>
    </w:p>
    <w:p w14:paraId="56CFE7B2" w14:textId="77777777" w:rsidR="00887BCF" w:rsidRPr="0034785C" w:rsidRDefault="00887BCF" w:rsidP="00807C4D">
      <w:pPr>
        <w:spacing w:line="480" w:lineRule="auto"/>
        <w:rPr>
          <w:rFonts w:cs="Times New Roman"/>
        </w:rPr>
      </w:pPr>
      <w:r w:rsidRPr="0034785C">
        <w:rPr>
          <w:rFonts w:cs="Times New Roman"/>
        </w:rPr>
        <w:t xml:space="preserve">¶ Again, it seems that perjurers are cursed and excommunicated daily. For daily </w:t>
      </w:r>
      <w:r w:rsidR="00830F16" w:rsidRPr="0034785C">
        <w:rPr>
          <w:rFonts w:cs="Times New Roman"/>
        </w:rPr>
        <w:t>it is sung in church, [Psal. 118:21]: “They are cursed who decline from your commandments.” But it is commanded, [Exod. 20:7]: “</w:t>
      </w:r>
      <w:r w:rsidR="008325C3" w:rsidRPr="0034785C">
        <w:rPr>
          <w:rFonts w:cs="Times New Roman"/>
        </w:rPr>
        <w:t>Y</w:t>
      </w:r>
      <w:r w:rsidR="00830F16" w:rsidRPr="0034785C">
        <w:rPr>
          <w:rFonts w:cs="Times New Roman"/>
        </w:rPr>
        <w:t>ou shall not take the name of God in vain.” It seems that they are worse than the devil, who although he does many evil things, however he does not dare to swear by God.</w:t>
      </w:r>
    </w:p>
    <w:p w14:paraId="00F86D3D" w14:textId="77777777" w:rsidR="00830F16" w:rsidRPr="0034785C" w:rsidRDefault="00830F16" w:rsidP="00807C4D">
      <w:pPr>
        <w:spacing w:line="480" w:lineRule="auto"/>
        <w:rPr>
          <w:rFonts w:cs="Times New Roman"/>
        </w:rPr>
      </w:pPr>
      <w:r w:rsidRPr="0034785C">
        <w:rPr>
          <w:rFonts w:cs="Times New Roman"/>
        </w:rPr>
        <w:t>¶ However because perjury may be a great evil</w:t>
      </w:r>
      <w:r w:rsidR="005C0733" w:rsidRPr="0034785C">
        <w:rPr>
          <w:rFonts w:cs="Times New Roman"/>
        </w:rPr>
        <w:t>,</w:t>
      </w:r>
      <w:r w:rsidR="00587BF5" w:rsidRPr="0034785C">
        <w:rPr>
          <w:rFonts w:cs="Times New Roman"/>
        </w:rPr>
        <w:t xml:space="preserve"> it is a great evil. This is to take the name of God in vain, although it may not be perjury there when it may be against the precept.</w:t>
      </w:r>
    </w:p>
    <w:p w14:paraId="55835AE8" w14:textId="77777777" w:rsidR="00587BF5" w:rsidRPr="0034785C" w:rsidRDefault="00587BF5" w:rsidP="00807C4D">
      <w:pPr>
        <w:spacing w:line="480" w:lineRule="auto"/>
        <w:rPr>
          <w:rFonts w:cs="Times New Roman"/>
        </w:rPr>
      </w:pPr>
      <w:r w:rsidRPr="0034785C">
        <w:rPr>
          <w:rFonts w:cs="Times New Roman"/>
        </w:rPr>
        <w:t>Second, when it is said, [Exod. 20:7]: “You shall not take the name of God in vain.” And for evidence of this matter, note the name of God is taken in vain in many ways.</w:t>
      </w:r>
    </w:p>
    <w:p w14:paraId="2B435465" w14:textId="1A5ACA3C" w:rsidR="00587BF5" w:rsidRPr="0034785C" w:rsidRDefault="00587BF5" w:rsidP="00807C4D">
      <w:pPr>
        <w:spacing w:line="480" w:lineRule="auto"/>
        <w:rPr>
          <w:rFonts w:cs="Times New Roman"/>
        </w:rPr>
      </w:pPr>
      <w:r w:rsidRPr="0034785C">
        <w:rPr>
          <w:rFonts w:cs="Times New Roman"/>
        </w:rPr>
        <w:t xml:space="preserve">First, he takes it in vain as if for nothing when </w:t>
      </w:r>
      <w:r w:rsidR="005C0733" w:rsidRPr="0034785C">
        <w:rPr>
          <w:rFonts w:cs="Times New Roman"/>
        </w:rPr>
        <w:t xml:space="preserve">he </w:t>
      </w:r>
      <w:r w:rsidRPr="0034785C">
        <w:rPr>
          <w:rFonts w:cs="Times New Roman"/>
        </w:rPr>
        <w:t>swears according to the gloss of Exod. 20[:7].</w:t>
      </w:r>
      <w:r w:rsidR="00AE39EE" w:rsidRPr="0034785C">
        <w:rPr>
          <w:rStyle w:val="EndnoteReference"/>
          <w:rFonts w:cs="Times New Roman"/>
        </w:rPr>
        <w:endnoteReference w:id="2"/>
      </w:r>
    </w:p>
    <w:p w14:paraId="51096B06" w14:textId="77777777" w:rsidR="005C0733" w:rsidRPr="0034785C" w:rsidRDefault="005C0733" w:rsidP="00807C4D">
      <w:pPr>
        <w:spacing w:line="480" w:lineRule="auto"/>
        <w:rPr>
          <w:rFonts w:cs="Times New Roman"/>
        </w:rPr>
      </w:pPr>
      <w:r w:rsidRPr="0034785C">
        <w:rPr>
          <w:rFonts w:cs="Times New Roman"/>
        </w:rPr>
        <w:lastRenderedPageBreak/>
        <w:t>¶ Again, the hypocrite who takes the name in vain who carries the name of Christian and not the life.</w:t>
      </w:r>
    </w:p>
    <w:p w14:paraId="715BB831" w14:textId="6AB97C6D" w:rsidR="00F74654" w:rsidRPr="0034785C" w:rsidRDefault="00F74654" w:rsidP="00807C4D">
      <w:pPr>
        <w:spacing w:line="480" w:lineRule="auto"/>
        <w:rPr>
          <w:rFonts w:cs="Times New Roman"/>
        </w:rPr>
      </w:pPr>
      <w:r w:rsidRPr="0034785C">
        <w:rPr>
          <w:rFonts w:cs="Times New Roman"/>
        </w:rPr>
        <w:t xml:space="preserve">¶ For according to Augustine, </w:t>
      </w:r>
      <w:r w:rsidRPr="0034785C">
        <w:rPr>
          <w:rFonts w:cs="Times New Roman"/>
          <w:i/>
        </w:rPr>
        <w:t>Super Ioannem</w:t>
      </w:r>
      <w:r w:rsidRPr="0034785C">
        <w:rPr>
          <w:rFonts w:cs="Times New Roman"/>
        </w:rPr>
        <w:t>, fifth homily,</w:t>
      </w:r>
      <w:r w:rsidR="00AE39EE" w:rsidRPr="0034785C">
        <w:rPr>
          <w:rStyle w:val="EndnoteReference"/>
          <w:rFonts w:cs="Times New Roman"/>
        </w:rPr>
        <w:endnoteReference w:id="3"/>
      </w:r>
      <w:r w:rsidRPr="0034785C">
        <w:rPr>
          <w:rFonts w:cs="Times New Roman"/>
        </w:rPr>
        <w:t xml:space="preserve"> it is more noble in man that he is a Christian than that he is a man, because that he is a man is common with many, but that he is a Christian he differentiates himself from many. Wherefore who carries the name and not the life shapes himself t</w:t>
      </w:r>
      <w:r w:rsidR="007A17B5" w:rsidRPr="0034785C">
        <w:rPr>
          <w:rFonts w:cs="Times New Roman"/>
        </w:rPr>
        <w:t>o that of Apo. 3[:1</w:t>
      </w:r>
      <w:r w:rsidRPr="0034785C">
        <w:rPr>
          <w:rFonts w:cs="Times New Roman"/>
        </w:rPr>
        <w:t>]: “You have the name of being alive: and you are dead.”</w:t>
      </w:r>
    </w:p>
    <w:p w14:paraId="66B62908" w14:textId="6CEC06B6" w:rsidR="00F74654" w:rsidRPr="0034785C" w:rsidRDefault="00F74654" w:rsidP="00807C4D">
      <w:pPr>
        <w:spacing w:line="480" w:lineRule="auto"/>
        <w:rPr>
          <w:rFonts w:cs="Times New Roman"/>
        </w:rPr>
      </w:pPr>
      <w:r w:rsidRPr="0034785C">
        <w:rPr>
          <w:rFonts w:cs="Times New Roman"/>
        </w:rPr>
        <w:t>¶ Therefore the name of God is taken in vain in three ways.</w:t>
      </w:r>
      <w:r w:rsidR="00C0388B" w:rsidRPr="0034785C">
        <w:rPr>
          <w:rStyle w:val="EndnoteReference"/>
          <w:rFonts w:cs="Times New Roman"/>
        </w:rPr>
        <w:endnoteReference w:id="4"/>
      </w:r>
      <w:r w:rsidRPr="0034785C">
        <w:rPr>
          <w:rFonts w:cs="Times New Roman"/>
        </w:rPr>
        <w:t xml:space="preserve"> In the heart when evil Christians receive the sacraments and not </w:t>
      </w:r>
      <w:r w:rsidR="007A17B5" w:rsidRPr="0034785C">
        <w:rPr>
          <w:rFonts w:cs="Times New Roman"/>
        </w:rPr>
        <w:t>the reality of the sacrament.</w:t>
      </w:r>
      <w:r w:rsidR="00AE39EE" w:rsidRPr="0034785C">
        <w:rPr>
          <w:rStyle w:val="EndnoteReference"/>
          <w:rFonts w:cs="Times New Roman"/>
        </w:rPr>
        <w:endnoteReference w:id="5"/>
      </w:r>
    </w:p>
    <w:p w14:paraId="75511436" w14:textId="77777777" w:rsidR="007A17B5" w:rsidRPr="0034785C" w:rsidRDefault="007A17B5" w:rsidP="00807C4D">
      <w:pPr>
        <w:spacing w:line="480" w:lineRule="auto"/>
        <w:rPr>
          <w:rFonts w:cs="Times New Roman"/>
        </w:rPr>
      </w:pPr>
      <w:r w:rsidRPr="0034785C">
        <w:rPr>
          <w:rFonts w:cs="Times New Roman"/>
        </w:rPr>
        <w:t>Again, by the mouth because it happens by evil swearing, by the breaking of a vow, and by boastful preaching, either it happens with an empty intention or by inattentive prayer, about which the Psal. [61:5]: “</w:t>
      </w:r>
      <w:r w:rsidR="00D27CB1" w:rsidRPr="0034785C">
        <w:rPr>
          <w:rFonts w:cs="Times New Roman"/>
        </w:rPr>
        <w:t>They blessed with their mouth.”</w:t>
      </w:r>
    </w:p>
    <w:p w14:paraId="42814292" w14:textId="77777777" w:rsidR="00BB4D58" w:rsidRPr="0034785C" w:rsidRDefault="00D27CB1" w:rsidP="00807C4D">
      <w:pPr>
        <w:spacing w:line="480" w:lineRule="auto"/>
        <w:rPr>
          <w:rFonts w:cs="Times New Roman"/>
        </w:rPr>
      </w:pPr>
      <w:r w:rsidRPr="0034785C">
        <w:rPr>
          <w:rFonts w:cs="Times New Roman"/>
        </w:rPr>
        <w:t xml:space="preserve">¶ Again, by work because it happens through hypocrisy as it was said above. Who therefore swears falsely, or deceptively, or impiously, or </w:t>
      </w:r>
      <w:r w:rsidR="008325C3" w:rsidRPr="0034785C">
        <w:rPr>
          <w:rFonts w:cs="Times New Roman"/>
        </w:rPr>
        <w:t>frivolously</w:t>
      </w:r>
      <w:r w:rsidRPr="0034785C">
        <w:rPr>
          <w:rFonts w:cs="Times New Roman"/>
        </w:rPr>
        <w:t xml:space="preserve">, or as if for nothing, injures God, himself, and his neighbor. God certainly because when </w:t>
      </w:r>
      <w:r w:rsidR="00BB4D58" w:rsidRPr="0034785C">
        <w:rPr>
          <w:rFonts w:cs="Times New Roman"/>
        </w:rPr>
        <w:t xml:space="preserve">swearing it is not other </w:t>
      </w:r>
      <w:r w:rsidR="00213013" w:rsidRPr="0034785C">
        <w:rPr>
          <w:rFonts w:cs="Times New Roman"/>
        </w:rPr>
        <w:t>than</w:t>
      </w:r>
      <w:r w:rsidR="00BB4D58" w:rsidRPr="0034785C">
        <w:rPr>
          <w:rFonts w:cs="Times New Roman"/>
        </w:rPr>
        <w:t xml:space="preserve"> to call God in witness. Who swears falsely means that God loves lying.</w:t>
      </w:r>
    </w:p>
    <w:p w14:paraId="73E3A4B1" w14:textId="77777777" w:rsidR="00BB4D58" w:rsidRPr="0034785C" w:rsidRDefault="00BB4D58" w:rsidP="00807C4D">
      <w:pPr>
        <w:spacing w:line="480" w:lineRule="auto"/>
        <w:rPr>
          <w:rFonts w:cs="Times New Roman"/>
        </w:rPr>
      </w:pPr>
      <w:r w:rsidRPr="0034785C">
        <w:rPr>
          <w:rFonts w:cs="Times New Roman"/>
        </w:rPr>
        <w:t>¶ Again, he injures himself because he obligates himself to the judgement of God to be punished. For to swea</w:t>
      </w:r>
      <w:r w:rsidR="00967705" w:rsidRPr="0034785C">
        <w:rPr>
          <w:rFonts w:cs="Times New Roman"/>
        </w:rPr>
        <w:t>r to God is interpreted thus, M</w:t>
      </w:r>
      <w:r w:rsidRPr="0034785C">
        <w:rPr>
          <w:rFonts w:cs="Times New Roman"/>
        </w:rPr>
        <w:t>ay God condemn me if it is not just as I say.</w:t>
      </w:r>
    </w:p>
    <w:p w14:paraId="7F320957" w14:textId="009E135D" w:rsidR="00973228" w:rsidRPr="0034785C" w:rsidRDefault="00BB4D58" w:rsidP="00973228">
      <w:pPr>
        <w:spacing w:line="480" w:lineRule="auto"/>
        <w:rPr>
          <w:rFonts w:cs="Times New Roman"/>
        </w:rPr>
      </w:pPr>
      <w:r w:rsidRPr="0034785C">
        <w:rPr>
          <w:rFonts w:cs="Times New Roman"/>
        </w:rPr>
        <w:t>¶ Again,</w:t>
      </w:r>
      <w:r w:rsidR="00D27CB1" w:rsidRPr="0034785C">
        <w:rPr>
          <w:rFonts w:cs="Times New Roman"/>
        </w:rPr>
        <w:t xml:space="preserve"> </w:t>
      </w:r>
      <w:r w:rsidRPr="0034785C">
        <w:rPr>
          <w:rFonts w:cs="Times New Roman"/>
        </w:rPr>
        <w:t>he injures his neighbor</w:t>
      </w:r>
      <w:r w:rsidR="00973228" w:rsidRPr="0034785C">
        <w:rPr>
          <w:rFonts w:cs="Times New Roman"/>
        </w:rPr>
        <w:t xml:space="preserve"> who by a false swearing deceives and defrauds. This says Augustine,</w:t>
      </w:r>
      <w:r w:rsidR="00AE39EE" w:rsidRPr="0034785C">
        <w:rPr>
          <w:rStyle w:val="EndnoteReference"/>
          <w:rFonts w:cs="Times New Roman"/>
        </w:rPr>
        <w:endnoteReference w:id="6"/>
      </w:r>
      <w:r w:rsidR="00973228" w:rsidRPr="0034785C">
        <w:rPr>
          <w:rFonts w:cs="Times New Roman"/>
        </w:rPr>
        <w:t xml:space="preserve"> that swearing is not to be sought, only in necessity and for a reason is it allowed to swear. Because false swearing is destructive, true swearing is perilous, no swearing is safe. </w:t>
      </w:r>
      <w:r w:rsidR="0081420B" w:rsidRPr="0034785C">
        <w:rPr>
          <w:rFonts w:cs="Times New Roman"/>
        </w:rPr>
        <w:t>However,</w:t>
      </w:r>
      <w:r w:rsidR="00973228" w:rsidRPr="0034785C">
        <w:rPr>
          <w:rFonts w:cs="Times New Roman"/>
        </w:rPr>
        <w:t xml:space="preserve"> there are cases in which it is allowed to swear which are noted in [Causa] 22, quest. 5, [c.] </w:t>
      </w:r>
      <w:r w:rsidR="00973228" w:rsidRPr="0034785C">
        <w:rPr>
          <w:rFonts w:cs="Times New Roman"/>
          <w:i/>
        </w:rPr>
        <w:t>Pueri</w:t>
      </w:r>
      <w:r w:rsidR="00973228" w:rsidRPr="0034785C">
        <w:rPr>
          <w:rFonts w:cs="Times New Roman"/>
        </w:rPr>
        <w:t>.</w:t>
      </w:r>
      <w:r w:rsidR="00AE39EE" w:rsidRPr="0034785C">
        <w:rPr>
          <w:rStyle w:val="EndnoteReference"/>
          <w:rFonts w:cs="Times New Roman"/>
        </w:rPr>
        <w:endnoteReference w:id="7"/>
      </w:r>
      <w:r w:rsidR="00973228" w:rsidRPr="0034785C">
        <w:rPr>
          <w:rFonts w:cs="Times New Roman"/>
        </w:rPr>
        <w:t xml:space="preserve"> And they are touched upon in Raymond</w:t>
      </w:r>
      <w:r w:rsidR="00AE39EE" w:rsidRPr="0034785C">
        <w:rPr>
          <w:rFonts w:cs="Times New Roman"/>
        </w:rPr>
        <w:t>,</w:t>
      </w:r>
      <w:r w:rsidR="00AE39EE" w:rsidRPr="0034785C">
        <w:rPr>
          <w:rStyle w:val="EndnoteReference"/>
          <w:rFonts w:cs="Times New Roman"/>
        </w:rPr>
        <w:endnoteReference w:id="8"/>
      </w:r>
      <w:r w:rsidR="00973228" w:rsidRPr="0034785C">
        <w:rPr>
          <w:rFonts w:cs="Times New Roman"/>
        </w:rPr>
        <w:t xml:space="preserve"> where the verse</w:t>
      </w:r>
      <w:r w:rsidR="00AE39EE" w:rsidRPr="0034785C">
        <w:rPr>
          <w:rFonts w:cs="Times New Roman"/>
        </w:rPr>
        <w:t>:</w:t>
      </w:r>
      <w:r w:rsidR="00AE39EE" w:rsidRPr="0034785C">
        <w:rPr>
          <w:rStyle w:val="EndnoteReference"/>
          <w:rFonts w:cs="Times New Roman"/>
        </w:rPr>
        <w:endnoteReference w:id="9"/>
      </w:r>
    </w:p>
    <w:p w14:paraId="3D9D564D" w14:textId="4301FCCF" w:rsidR="009E29FF" w:rsidRPr="0034785C" w:rsidRDefault="009E29FF" w:rsidP="00973228">
      <w:pPr>
        <w:spacing w:line="480" w:lineRule="auto"/>
        <w:rPr>
          <w:rFonts w:cs="Times New Roman"/>
        </w:rPr>
      </w:pPr>
      <w:r w:rsidRPr="0034785C">
        <w:rPr>
          <w:rFonts w:cs="Times New Roman"/>
        </w:rPr>
        <w:t>¶ Law and reputation and faith</w:t>
      </w:r>
      <w:r w:rsidR="002947B1" w:rsidRPr="0034785C">
        <w:rPr>
          <w:rFonts w:cs="Times New Roman"/>
        </w:rPr>
        <w:t>, reverence and dread of loss</w:t>
      </w:r>
      <w:r w:rsidR="0034785C">
        <w:rPr>
          <w:rFonts w:cs="Times New Roman"/>
        </w:rPr>
        <w:t>,</w:t>
      </w:r>
      <w:r w:rsidR="002947B1" w:rsidRPr="0034785C">
        <w:rPr>
          <w:rFonts w:cs="Times New Roman"/>
        </w:rPr>
        <w:t xml:space="preserve"> </w:t>
      </w:r>
      <w:r w:rsidR="0034785C">
        <w:rPr>
          <w:rFonts w:cs="Times New Roman"/>
        </w:rPr>
        <w:t>d</w:t>
      </w:r>
      <w:r w:rsidRPr="0034785C">
        <w:rPr>
          <w:rFonts w:cs="Times New Roman"/>
        </w:rPr>
        <w:t>ef</w:t>
      </w:r>
      <w:r w:rsidR="000F011B" w:rsidRPr="0034785C">
        <w:rPr>
          <w:rFonts w:cs="Times New Roman"/>
        </w:rPr>
        <w:t>ault of right</w:t>
      </w:r>
      <w:r w:rsidRPr="0034785C">
        <w:rPr>
          <w:rFonts w:cs="Times New Roman"/>
        </w:rPr>
        <w:t xml:space="preserve"> give you license to swear.</w:t>
      </w:r>
    </w:p>
    <w:p w14:paraId="5804A003" w14:textId="441FE944" w:rsidR="009E29FF" w:rsidRPr="0034785C" w:rsidRDefault="009E29FF" w:rsidP="00973228">
      <w:pPr>
        <w:spacing w:line="480" w:lineRule="auto"/>
        <w:rPr>
          <w:rFonts w:cs="Times New Roman"/>
        </w:rPr>
      </w:pPr>
      <w:r w:rsidRPr="0034785C">
        <w:rPr>
          <w:rFonts w:cs="Times New Roman"/>
        </w:rPr>
        <w:t>¶ Law</w:t>
      </w:r>
      <w:r w:rsidR="005B1161" w:rsidRPr="0034785C">
        <w:rPr>
          <w:rFonts w:cs="Times New Roman"/>
        </w:rPr>
        <w:t>.</w:t>
      </w:r>
      <w:r w:rsidRPr="0034785C">
        <w:rPr>
          <w:rFonts w:cs="Times New Roman"/>
        </w:rPr>
        <w:t xml:space="preserve"> </w:t>
      </w:r>
      <w:r w:rsidR="005B1161" w:rsidRPr="0034785C">
        <w:rPr>
          <w:rFonts w:cs="Times New Roman"/>
        </w:rPr>
        <w:t>A</w:t>
      </w:r>
      <w:r w:rsidRPr="0034785C">
        <w:rPr>
          <w:rFonts w:cs="Times New Roman"/>
        </w:rPr>
        <w:t>s treated in Deut. 6[:13]: “You shall swear by his name.”  Understand if it is necessary to swear.</w:t>
      </w:r>
      <w:r w:rsidR="009175AF" w:rsidRPr="0034785C">
        <w:rPr>
          <w:rFonts w:cs="Times New Roman"/>
        </w:rPr>
        <w:t xml:space="preserve"> And Augustine,</w:t>
      </w:r>
      <w:r w:rsidR="00AE39EE" w:rsidRPr="0034785C">
        <w:rPr>
          <w:rStyle w:val="EndnoteReference"/>
          <w:rFonts w:cs="Times New Roman"/>
        </w:rPr>
        <w:endnoteReference w:id="10"/>
      </w:r>
      <w:r w:rsidR="009175AF" w:rsidRPr="0034785C">
        <w:rPr>
          <w:rFonts w:cs="Times New Roman"/>
        </w:rPr>
        <w:t xml:space="preserve"> swearing is perilous, however swearing although it is permitted it is to be feared than avoided, lest perhaps it drags one to perjury.</w:t>
      </w:r>
    </w:p>
    <w:p w14:paraId="447B7D57" w14:textId="77777777" w:rsidR="009175AF" w:rsidRPr="0034785C" w:rsidRDefault="009175AF" w:rsidP="009755CF">
      <w:pPr>
        <w:spacing w:line="480" w:lineRule="auto"/>
        <w:rPr>
          <w:rFonts w:cs="Times New Roman"/>
        </w:rPr>
      </w:pPr>
      <w:r w:rsidRPr="0034785C">
        <w:rPr>
          <w:rFonts w:cs="Times New Roman"/>
        </w:rPr>
        <w:t>¶ Reputation</w:t>
      </w:r>
      <w:r w:rsidR="005B1161" w:rsidRPr="0034785C">
        <w:rPr>
          <w:rFonts w:cs="Times New Roman"/>
        </w:rPr>
        <w:t>.</w:t>
      </w:r>
      <w:r w:rsidRPr="0034785C">
        <w:rPr>
          <w:rFonts w:cs="Times New Roman"/>
        </w:rPr>
        <w:t xml:space="preserve"> </w:t>
      </w:r>
      <w:r w:rsidR="005B1161" w:rsidRPr="0034785C">
        <w:rPr>
          <w:rFonts w:cs="Times New Roman"/>
        </w:rPr>
        <w:t>O</w:t>
      </w:r>
      <w:r w:rsidRPr="0034785C">
        <w:rPr>
          <w:rFonts w:cs="Times New Roman"/>
        </w:rPr>
        <w:t xml:space="preserve">ne can swear for saving one’s reputation </w:t>
      </w:r>
      <w:r w:rsidR="009755CF" w:rsidRPr="0034785C">
        <w:rPr>
          <w:rFonts w:cs="Times New Roman"/>
        </w:rPr>
        <w:t>or for purging oneself, Eccli. 41[:15]: “Take care of a good name.”</w:t>
      </w:r>
    </w:p>
    <w:p w14:paraId="50843BCF" w14:textId="1B0BB3A5" w:rsidR="00213013" w:rsidRPr="0034785C" w:rsidRDefault="009755CF" w:rsidP="009755CF">
      <w:pPr>
        <w:spacing w:line="480" w:lineRule="auto"/>
        <w:rPr>
          <w:rFonts w:cs="Times New Roman"/>
        </w:rPr>
      </w:pPr>
      <w:r w:rsidRPr="0034785C">
        <w:rPr>
          <w:rFonts w:cs="Times New Roman"/>
        </w:rPr>
        <w:t>¶ Faith</w:t>
      </w:r>
      <w:r w:rsidR="005B1161" w:rsidRPr="0034785C">
        <w:rPr>
          <w:rFonts w:cs="Times New Roman"/>
        </w:rPr>
        <w:t>.</w:t>
      </w:r>
      <w:r w:rsidRPr="0034785C">
        <w:rPr>
          <w:rFonts w:cs="Times New Roman"/>
        </w:rPr>
        <w:t xml:space="preserve"> </w:t>
      </w:r>
      <w:r w:rsidR="005B1161" w:rsidRPr="0034785C">
        <w:rPr>
          <w:rFonts w:cs="Times New Roman"/>
        </w:rPr>
        <w:t>I</w:t>
      </w:r>
      <w:r w:rsidRPr="0034785C">
        <w:rPr>
          <w:rFonts w:cs="Times New Roman"/>
        </w:rPr>
        <w:t xml:space="preserve">t is permitted to swear for building faith in the hearts of the simple. In this way </w:t>
      </w:r>
      <w:r w:rsidR="0081420B" w:rsidRPr="0034785C">
        <w:rPr>
          <w:rFonts w:cs="Times New Roman"/>
        </w:rPr>
        <w:t>sometimes,</w:t>
      </w:r>
      <w:r w:rsidRPr="0034785C">
        <w:rPr>
          <w:rFonts w:cs="Times New Roman"/>
        </w:rPr>
        <w:t xml:space="preserve"> the religious swear and vow, [Causa] 14, quest. 2, [</w:t>
      </w:r>
      <w:r w:rsidR="00213013" w:rsidRPr="0034785C">
        <w:rPr>
          <w:rFonts w:cs="Times New Roman"/>
        </w:rPr>
        <w:t xml:space="preserve">c. 1, </w:t>
      </w:r>
      <w:r w:rsidRPr="0034785C">
        <w:rPr>
          <w:rFonts w:cs="Times New Roman"/>
          <w:i/>
        </w:rPr>
        <w:t>Super] prudencia</w:t>
      </w:r>
      <w:r w:rsidRPr="0034785C">
        <w:rPr>
          <w:rFonts w:cs="Times New Roman"/>
        </w:rPr>
        <w:t>.</w:t>
      </w:r>
      <w:r w:rsidR="00AE39EE" w:rsidRPr="0034785C">
        <w:rPr>
          <w:rStyle w:val="EndnoteReference"/>
          <w:rFonts w:cs="Times New Roman"/>
        </w:rPr>
        <w:endnoteReference w:id="11"/>
      </w:r>
      <w:r w:rsidRPr="0034785C">
        <w:rPr>
          <w:rFonts w:cs="Times New Roman"/>
        </w:rPr>
        <w:t xml:space="preserve"> </w:t>
      </w:r>
    </w:p>
    <w:p w14:paraId="7BF75FCB" w14:textId="77777777" w:rsidR="005B1161" w:rsidRPr="0034785C" w:rsidRDefault="00F40F3F" w:rsidP="009755CF">
      <w:pPr>
        <w:spacing w:line="480" w:lineRule="auto"/>
        <w:rPr>
          <w:rFonts w:cs="Times New Roman"/>
        </w:rPr>
      </w:pPr>
      <w:r w:rsidRPr="0034785C">
        <w:rPr>
          <w:rFonts w:cs="Times New Roman"/>
        </w:rPr>
        <w:t>Reverenc</w:t>
      </w:r>
      <w:r w:rsidR="00CE2919" w:rsidRPr="0034785C">
        <w:rPr>
          <w:rFonts w:cs="Times New Roman"/>
        </w:rPr>
        <w:t>e</w:t>
      </w:r>
      <w:r w:rsidR="009755CF" w:rsidRPr="0034785C">
        <w:rPr>
          <w:rFonts w:cs="Times New Roman"/>
        </w:rPr>
        <w:t>.</w:t>
      </w:r>
      <w:r w:rsidR="005B1161" w:rsidRPr="0034785C">
        <w:rPr>
          <w:rFonts w:cs="Times New Roman"/>
        </w:rPr>
        <w:t xml:space="preserve"> </w:t>
      </w:r>
      <w:r w:rsidR="009755CF" w:rsidRPr="0034785C">
        <w:rPr>
          <w:rFonts w:cs="Times New Roman"/>
        </w:rPr>
        <w:t xml:space="preserve">Again, one can swear on account of reverence of God. </w:t>
      </w:r>
    </w:p>
    <w:p w14:paraId="5C22E8A7" w14:textId="77777777" w:rsidR="002947B1" w:rsidRPr="0034785C" w:rsidRDefault="002947B1" w:rsidP="009755CF">
      <w:pPr>
        <w:spacing w:line="480" w:lineRule="auto"/>
        <w:rPr>
          <w:rFonts w:cs="Times New Roman"/>
        </w:rPr>
      </w:pPr>
      <w:r w:rsidRPr="0034785C">
        <w:rPr>
          <w:rFonts w:cs="Times New Roman"/>
        </w:rPr>
        <w:t>Dread</w:t>
      </w:r>
      <w:r w:rsidR="005B1161" w:rsidRPr="0034785C">
        <w:rPr>
          <w:rFonts w:cs="Times New Roman"/>
        </w:rPr>
        <w:t>.</w:t>
      </w:r>
      <w:r w:rsidR="009755CF" w:rsidRPr="0034785C">
        <w:rPr>
          <w:rFonts w:cs="Times New Roman"/>
        </w:rPr>
        <w:t xml:space="preserve"> </w:t>
      </w:r>
      <w:r w:rsidR="005B1161" w:rsidRPr="0034785C">
        <w:rPr>
          <w:rFonts w:cs="Times New Roman"/>
        </w:rPr>
        <w:t>S</w:t>
      </w:r>
      <w:r w:rsidR="009755CF" w:rsidRPr="0034785C">
        <w:rPr>
          <w:rFonts w:cs="Times New Roman"/>
        </w:rPr>
        <w:t xml:space="preserve">o that </w:t>
      </w:r>
      <w:r w:rsidRPr="0034785C">
        <w:rPr>
          <w:rFonts w:cs="Times New Roman"/>
        </w:rPr>
        <w:t>some</w:t>
      </w:r>
      <w:r w:rsidR="009755CF" w:rsidRPr="0034785C">
        <w:rPr>
          <w:rFonts w:cs="Times New Roman"/>
        </w:rPr>
        <w:t xml:space="preserve">thing is saved or that things lost be recovered it can be sworn, who according Apostle, Heb. 6[:16]: </w:t>
      </w:r>
      <w:r w:rsidR="00664BE7" w:rsidRPr="0034785C">
        <w:rPr>
          <w:rFonts w:cs="Times New Roman"/>
        </w:rPr>
        <w:t xml:space="preserve">“An oath is the end of all their controversy.” </w:t>
      </w:r>
    </w:p>
    <w:p w14:paraId="42443CE3" w14:textId="77777777" w:rsidR="009755CF" w:rsidRPr="0034785C" w:rsidRDefault="000F011B" w:rsidP="009755CF">
      <w:pPr>
        <w:spacing w:line="480" w:lineRule="auto"/>
        <w:rPr>
          <w:rFonts w:cs="Times New Roman"/>
        </w:rPr>
      </w:pPr>
      <w:r w:rsidRPr="0034785C">
        <w:rPr>
          <w:rFonts w:cs="Times New Roman"/>
        </w:rPr>
        <w:t>D</w:t>
      </w:r>
      <w:r w:rsidR="00664BE7" w:rsidRPr="0034785C">
        <w:rPr>
          <w:rFonts w:cs="Times New Roman"/>
        </w:rPr>
        <w:t>ef</w:t>
      </w:r>
      <w:r w:rsidRPr="0034785C">
        <w:rPr>
          <w:rFonts w:cs="Times New Roman"/>
        </w:rPr>
        <w:t>ault</w:t>
      </w:r>
      <w:r w:rsidR="00664BE7" w:rsidRPr="0034785C">
        <w:rPr>
          <w:rFonts w:cs="Times New Roman"/>
        </w:rPr>
        <w:t xml:space="preserve"> of </w:t>
      </w:r>
      <w:r w:rsidRPr="0034785C">
        <w:rPr>
          <w:rFonts w:cs="Times New Roman"/>
        </w:rPr>
        <w:t>right.</w:t>
      </w:r>
      <w:r w:rsidR="00664BE7" w:rsidRPr="0034785C">
        <w:rPr>
          <w:rFonts w:cs="Times New Roman"/>
        </w:rPr>
        <w:t xml:space="preserve"> </w:t>
      </w:r>
      <w:r w:rsidRPr="0034785C">
        <w:rPr>
          <w:rFonts w:cs="Times New Roman"/>
        </w:rPr>
        <w:t xml:space="preserve">It </w:t>
      </w:r>
      <w:r w:rsidR="00E565A2" w:rsidRPr="0034785C">
        <w:rPr>
          <w:rFonts w:cs="Times New Roman"/>
        </w:rPr>
        <w:t>should</w:t>
      </w:r>
      <w:r w:rsidRPr="0034785C">
        <w:rPr>
          <w:rFonts w:cs="Times New Roman"/>
        </w:rPr>
        <w:t xml:space="preserve"> be s</w:t>
      </w:r>
      <w:r w:rsidR="00664BE7" w:rsidRPr="0034785C">
        <w:rPr>
          <w:rFonts w:cs="Times New Roman"/>
        </w:rPr>
        <w:t>w</w:t>
      </w:r>
      <w:r w:rsidRPr="0034785C">
        <w:rPr>
          <w:rFonts w:cs="Times New Roman"/>
        </w:rPr>
        <w:t>orn</w:t>
      </w:r>
      <w:r w:rsidR="00664BE7" w:rsidRPr="0034785C">
        <w:rPr>
          <w:rFonts w:cs="Times New Roman"/>
        </w:rPr>
        <w:t xml:space="preserve"> </w:t>
      </w:r>
      <w:r w:rsidRPr="0034785C">
        <w:rPr>
          <w:rFonts w:cs="Times New Roman"/>
        </w:rPr>
        <w:t>rather than</w:t>
      </w:r>
      <w:r w:rsidR="00664BE7" w:rsidRPr="0034785C">
        <w:rPr>
          <w:rFonts w:cs="Times New Roman"/>
        </w:rPr>
        <w:t xml:space="preserve"> truth </w:t>
      </w:r>
      <w:r w:rsidRPr="0034785C">
        <w:rPr>
          <w:rFonts w:cs="Times New Roman"/>
        </w:rPr>
        <w:t>be</w:t>
      </w:r>
      <w:r w:rsidR="00664BE7" w:rsidRPr="0034785C">
        <w:rPr>
          <w:rFonts w:cs="Times New Roman"/>
        </w:rPr>
        <w:t xml:space="preserve"> endangered.</w:t>
      </w:r>
    </w:p>
    <w:p w14:paraId="4EE0B1B9" w14:textId="1491DC05" w:rsidR="00664BE7" w:rsidRPr="0034785C" w:rsidRDefault="00664BE7" w:rsidP="009755CF">
      <w:pPr>
        <w:spacing w:line="480" w:lineRule="auto"/>
        <w:rPr>
          <w:rFonts w:cs="Times New Roman"/>
          <w:iCs/>
        </w:rPr>
      </w:pPr>
      <w:r w:rsidRPr="0034785C">
        <w:rPr>
          <w:rFonts w:cs="Times New Roman"/>
        </w:rPr>
        <w:t xml:space="preserve">Again, but canonical rules can be sworn to for peace and affirming friendship, [Causa] 22, quest. 1, </w:t>
      </w:r>
      <w:r w:rsidRPr="0034785C">
        <w:rPr>
          <w:rFonts w:cs="Times New Roman"/>
          <w:i/>
        </w:rPr>
        <w:t>Omne</w:t>
      </w:r>
      <w:r w:rsidR="001F1140" w:rsidRPr="0034785C">
        <w:rPr>
          <w:rFonts w:cs="Times New Roman"/>
          <w:iCs/>
        </w:rPr>
        <w:t>.</w:t>
      </w:r>
      <w:r w:rsidR="001F1140" w:rsidRPr="0034785C">
        <w:rPr>
          <w:rStyle w:val="EndnoteReference"/>
          <w:rFonts w:cs="Times New Roman"/>
          <w:iCs/>
        </w:rPr>
        <w:endnoteReference w:id="12"/>
      </w:r>
    </w:p>
    <w:p w14:paraId="1D0ED735" w14:textId="508EA8B5" w:rsidR="00664BE7" w:rsidRPr="0034785C" w:rsidRDefault="00664BE7" w:rsidP="009755CF">
      <w:pPr>
        <w:spacing w:line="480" w:lineRule="auto"/>
        <w:rPr>
          <w:rFonts w:cs="Times New Roman"/>
          <w:iCs/>
        </w:rPr>
      </w:pPr>
      <w:r w:rsidRPr="0034785C">
        <w:rPr>
          <w:rFonts w:cs="Times New Roman"/>
        </w:rPr>
        <w:t xml:space="preserve">And second, for saving the faith and destroying heresy, </w:t>
      </w:r>
      <w:r w:rsidRPr="0034785C">
        <w:rPr>
          <w:rFonts w:cs="Times New Roman"/>
          <w:i/>
        </w:rPr>
        <w:t>De consecratione,</w:t>
      </w:r>
      <w:r w:rsidRPr="0034785C">
        <w:rPr>
          <w:rFonts w:cs="Times New Roman"/>
        </w:rPr>
        <w:t xml:space="preserve"> dist. 2, c. </w:t>
      </w:r>
      <w:r w:rsidRPr="0034785C">
        <w:rPr>
          <w:rFonts w:cs="Times New Roman"/>
          <w:i/>
        </w:rPr>
        <w:t>Ego Berengarius</w:t>
      </w:r>
      <w:r w:rsidR="001F1140" w:rsidRPr="0034785C">
        <w:rPr>
          <w:rFonts w:cs="Times New Roman"/>
          <w:iCs/>
        </w:rPr>
        <w:t>.</w:t>
      </w:r>
      <w:r w:rsidR="001F1140" w:rsidRPr="0034785C">
        <w:rPr>
          <w:rStyle w:val="EndnoteReference"/>
          <w:rFonts w:cs="Times New Roman"/>
          <w:iCs/>
        </w:rPr>
        <w:endnoteReference w:id="13"/>
      </w:r>
    </w:p>
    <w:p w14:paraId="5D62CD4A" w14:textId="2B76FAE7" w:rsidR="00E63D26" w:rsidRPr="0034785C" w:rsidRDefault="00E63D26" w:rsidP="009755CF">
      <w:pPr>
        <w:spacing w:line="480" w:lineRule="auto"/>
        <w:rPr>
          <w:rFonts w:cs="Times New Roman"/>
        </w:rPr>
      </w:pPr>
      <w:r w:rsidRPr="0034785C">
        <w:rPr>
          <w:rFonts w:cs="Times New Roman"/>
        </w:rPr>
        <w:t xml:space="preserve">Third, for saving reputation and purgation of innocence, Extra. </w:t>
      </w:r>
      <w:r w:rsidRPr="0034785C">
        <w:rPr>
          <w:rFonts w:cs="Times New Roman"/>
          <w:i/>
        </w:rPr>
        <w:t>De purgatione canonica</w:t>
      </w:r>
      <w:r w:rsidRPr="0034785C">
        <w:rPr>
          <w:rFonts w:cs="Times New Roman"/>
        </w:rPr>
        <w:t>, c. [1]</w:t>
      </w:r>
      <w:r w:rsidR="009A3EAF" w:rsidRPr="0034785C">
        <w:rPr>
          <w:rFonts w:cs="Times New Roman"/>
        </w:rPr>
        <w:t xml:space="preserve">, </w:t>
      </w:r>
      <w:r w:rsidR="009A3EAF" w:rsidRPr="0034785C">
        <w:rPr>
          <w:rFonts w:cs="Times New Roman"/>
          <w:i/>
          <w:iCs/>
        </w:rPr>
        <w:t>Quoties [Tridentinus]</w:t>
      </w:r>
      <w:r w:rsidR="009A3EAF" w:rsidRPr="0034785C">
        <w:rPr>
          <w:rFonts w:cs="Times New Roman"/>
        </w:rPr>
        <w:t>.</w:t>
      </w:r>
      <w:r w:rsidR="009A3EAF" w:rsidRPr="0034785C">
        <w:rPr>
          <w:rStyle w:val="EndnoteReference"/>
          <w:rFonts w:cs="Times New Roman"/>
        </w:rPr>
        <w:endnoteReference w:id="14"/>
      </w:r>
    </w:p>
    <w:p w14:paraId="326A8333" w14:textId="6F8C8079" w:rsidR="00E63D26" w:rsidRPr="0034785C" w:rsidRDefault="00E63D26" w:rsidP="009755CF">
      <w:pPr>
        <w:spacing w:line="480" w:lineRule="auto"/>
        <w:rPr>
          <w:rFonts w:cs="Times New Roman"/>
        </w:rPr>
      </w:pPr>
      <w:r w:rsidRPr="0034785C">
        <w:rPr>
          <w:rFonts w:cs="Times New Roman"/>
        </w:rPr>
        <w:t xml:space="preserve">Fourth, for threatening obedience upon elders, especially where the care of souls is received, Extra. </w:t>
      </w:r>
      <w:r w:rsidRPr="0034785C">
        <w:rPr>
          <w:rFonts w:cs="Times New Roman"/>
          <w:i/>
        </w:rPr>
        <w:t>De maioritate et obedientia</w:t>
      </w:r>
      <w:r w:rsidRPr="0034785C">
        <w:rPr>
          <w:rFonts w:cs="Times New Roman"/>
        </w:rPr>
        <w:t xml:space="preserve">, c. </w:t>
      </w:r>
      <w:r w:rsidRPr="0034785C">
        <w:rPr>
          <w:rFonts w:cs="Times New Roman"/>
          <w:i/>
        </w:rPr>
        <w:t>Cum certum</w:t>
      </w:r>
      <w:r w:rsidR="001F1140" w:rsidRPr="0034785C">
        <w:rPr>
          <w:rFonts w:cs="Times New Roman"/>
          <w:iCs/>
        </w:rPr>
        <w:t>,</w:t>
      </w:r>
      <w:r w:rsidR="001F1140" w:rsidRPr="0034785C">
        <w:rPr>
          <w:rStyle w:val="EndnoteReference"/>
          <w:rFonts w:cs="Times New Roman"/>
          <w:iCs/>
        </w:rPr>
        <w:endnoteReference w:id="15"/>
      </w:r>
      <w:r w:rsidRPr="0034785C">
        <w:rPr>
          <w:rFonts w:cs="Times New Roman"/>
        </w:rPr>
        <w:t xml:space="preserve"> and c. </w:t>
      </w:r>
      <w:r w:rsidRPr="0034785C">
        <w:rPr>
          <w:rFonts w:cs="Times New Roman"/>
          <w:i/>
        </w:rPr>
        <w:t>Legebatur</w:t>
      </w:r>
      <w:r w:rsidR="001F1140" w:rsidRPr="0034785C">
        <w:rPr>
          <w:rFonts w:cs="Times New Roman"/>
          <w:iCs/>
        </w:rPr>
        <w:t>,</w:t>
      </w:r>
      <w:r w:rsidR="001F1140" w:rsidRPr="0034785C">
        <w:rPr>
          <w:rStyle w:val="EndnoteReference"/>
          <w:rFonts w:cs="Times New Roman"/>
          <w:iCs/>
        </w:rPr>
        <w:endnoteReference w:id="16"/>
      </w:r>
      <w:r w:rsidRPr="0034785C">
        <w:rPr>
          <w:rFonts w:cs="Times New Roman"/>
        </w:rPr>
        <w:t xml:space="preserve"> in</w:t>
      </w:r>
      <w:r w:rsidR="00F40F3F" w:rsidRPr="0034785C">
        <w:rPr>
          <w:rFonts w:cs="Times New Roman"/>
        </w:rPr>
        <w:t xml:space="preserve"> the gloss</w:t>
      </w:r>
      <w:r w:rsidRPr="0034785C">
        <w:rPr>
          <w:rFonts w:cs="Times New Roman"/>
        </w:rPr>
        <w:t>.</w:t>
      </w:r>
      <w:r w:rsidR="001F1140" w:rsidRPr="0034785C">
        <w:rPr>
          <w:rStyle w:val="EndnoteReference"/>
          <w:rFonts w:cs="Times New Roman"/>
        </w:rPr>
        <w:endnoteReference w:id="17"/>
      </w:r>
    </w:p>
    <w:p w14:paraId="3B3803E9" w14:textId="4612D014" w:rsidR="00E63D26" w:rsidRPr="0034785C" w:rsidRDefault="00E63D26" w:rsidP="009755CF">
      <w:pPr>
        <w:spacing w:line="480" w:lineRule="auto"/>
        <w:rPr>
          <w:rFonts w:cs="Times New Roman"/>
        </w:rPr>
      </w:pPr>
      <w:r w:rsidRPr="0034785C">
        <w:rPr>
          <w:rFonts w:cs="Times New Roman"/>
        </w:rPr>
        <w:t xml:space="preserve">Fifth, by cautioning against wasting, Distinction 28, [c.] </w:t>
      </w:r>
      <w:r w:rsidRPr="0034785C">
        <w:rPr>
          <w:rFonts w:cs="Times New Roman"/>
          <w:i/>
        </w:rPr>
        <w:t>De Siracusanae</w:t>
      </w:r>
      <w:r w:rsidRPr="0034785C">
        <w:rPr>
          <w:rFonts w:cs="Times New Roman"/>
        </w:rPr>
        <w:t>.</w:t>
      </w:r>
      <w:r w:rsidR="001F1140" w:rsidRPr="0034785C">
        <w:rPr>
          <w:rStyle w:val="EndnoteReference"/>
          <w:rFonts w:cs="Times New Roman"/>
        </w:rPr>
        <w:endnoteReference w:id="18"/>
      </w:r>
    </w:p>
    <w:p w14:paraId="6EFAC6F3" w14:textId="1E454E15" w:rsidR="00E63D26" w:rsidRPr="0034785C" w:rsidRDefault="00E63D26" w:rsidP="009755CF">
      <w:pPr>
        <w:spacing w:line="480" w:lineRule="auto"/>
        <w:rPr>
          <w:rFonts w:cs="Times New Roman"/>
          <w:iCs/>
        </w:rPr>
      </w:pPr>
      <w:r w:rsidRPr="0034785C">
        <w:rPr>
          <w:rFonts w:cs="Times New Roman"/>
        </w:rPr>
        <w:t xml:space="preserve">Sixth, against suspicion of heresy, Extra. </w:t>
      </w:r>
      <w:r w:rsidRPr="0034785C">
        <w:rPr>
          <w:rFonts w:cs="Times New Roman"/>
          <w:i/>
        </w:rPr>
        <w:t xml:space="preserve">De electione et electi potestate, </w:t>
      </w:r>
      <w:r w:rsidRPr="0034785C">
        <w:rPr>
          <w:rFonts w:cs="Times New Roman"/>
        </w:rPr>
        <w:t xml:space="preserve">c. </w:t>
      </w:r>
      <w:r w:rsidRPr="0034785C">
        <w:rPr>
          <w:rFonts w:cs="Times New Roman"/>
          <w:i/>
        </w:rPr>
        <w:t>Significasti</w:t>
      </w:r>
      <w:r w:rsidR="001F1140" w:rsidRPr="0034785C">
        <w:rPr>
          <w:rFonts w:cs="Times New Roman"/>
          <w:iCs/>
        </w:rPr>
        <w:t>.</w:t>
      </w:r>
      <w:r w:rsidR="001F1140" w:rsidRPr="0034785C">
        <w:rPr>
          <w:rStyle w:val="EndnoteReference"/>
          <w:rFonts w:cs="Times New Roman"/>
          <w:iCs/>
        </w:rPr>
        <w:endnoteReference w:id="19"/>
      </w:r>
    </w:p>
    <w:p w14:paraId="52FC1731" w14:textId="0EFDAD9E" w:rsidR="009175AF" w:rsidRPr="0034785C" w:rsidRDefault="00E63D26" w:rsidP="00973228">
      <w:pPr>
        <w:spacing w:line="480" w:lineRule="auto"/>
        <w:rPr>
          <w:rFonts w:cs="Times New Roman"/>
          <w:iCs/>
        </w:rPr>
      </w:pPr>
      <w:r w:rsidRPr="0034785C">
        <w:rPr>
          <w:rFonts w:cs="Times New Roman"/>
        </w:rPr>
        <w:t xml:space="preserve">Seventh, for speaking the truth in lack of witnesses, [Causa] 24, quest. 2, c. </w:t>
      </w:r>
      <w:r w:rsidRPr="0034785C">
        <w:rPr>
          <w:rFonts w:cs="Times New Roman"/>
          <w:i/>
        </w:rPr>
        <w:t>Nec quisquam</w:t>
      </w:r>
      <w:r w:rsidR="001F1140" w:rsidRPr="0034785C">
        <w:rPr>
          <w:rFonts w:cs="Times New Roman"/>
          <w:iCs/>
          <w:sz w:val="26"/>
        </w:rPr>
        <w:t>.</w:t>
      </w:r>
      <w:r w:rsidR="001F1140" w:rsidRPr="0034785C">
        <w:rPr>
          <w:rStyle w:val="EndnoteReference"/>
          <w:rFonts w:cs="Times New Roman"/>
          <w:iCs/>
          <w:sz w:val="26"/>
        </w:rPr>
        <w:endnoteReference w:id="20"/>
      </w:r>
    </w:p>
    <w:sectPr w:rsidR="009175AF" w:rsidRPr="0034785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D48AB" w14:textId="77777777" w:rsidR="00AE39EE" w:rsidRDefault="00AE39EE" w:rsidP="00AE39EE">
      <w:pPr>
        <w:spacing w:after="0" w:line="240" w:lineRule="auto"/>
      </w:pPr>
      <w:r>
        <w:separator/>
      </w:r>
    </w:p>
  </w:endnote>
  <w:endnote w:type="continuationSeparator" w:id="0">
    <w:p w14:paraId="2B85A9F2" w14:textId="77777777" w:rsidR="00AE39EE" w:rsidRDefault="00AE39EE" w:rsidP="00AE39EE">
      <w:pPr>
        <w:spacing w:after="0" w:line="240" w:lineRule="auto"/>
      </w:pPr>
      <w:r>
        <w:continuationSeparator/>
      </w:r>
    </w:p>
  </w:endnote>
  <w:endnote w:id="1">
    <w:p w14:paraId="653EBD09" w14:textId="77777777"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r w:rsidRPr="00C0388B">
        <w:rPr>
          <w:rFonts w:cs="Times New Roman"/>
          <w:sz w:val="24"/>
          <w:szCs w:val="24"/>
        </w:rPr>
        <w:t xml:space="preserve">Augustine, cf. Thomas Aquinas, </w:t>
      </w:r>
      <w:r w:rsidRPr="00C0388B">
        <w:rPr>
          <w:rFonts w:cs="Times New Roman"/>
          <w:i/>
          <w:sz w:val="24"/>
          <w:szCs w:val="24"/>
        </w:rPr>
        <w:t xml:space="preserve">Summa theologica </w:t>
      </w:r>
      <w:r w:rsidRPr="00C0388B">
        <w:rPr>
          <w:rFonts w:cs="Times New Roman"/>
          <w:sz w:val="24"/>
          <w:szCs w:val="24"/>
        </w:rPr>
        <w:t>IIª-IIae q. 89 a. 2 arg. 3: Praeterea, exquirere signum divinae providentiae est tentare Deum, quod est omnino illicitum, secundum illud Deut. VI, non tentabis dominum Deum tuum. Sed ille qui iurat videtur exquirere signum divinae providentiae, dum petit divinum testimonium, quod est per aliquem evidentem effectum. Ergo videtur quod iuramentum sit omnino illicitum.</w:t>
      </w:r>
    </w:p>
    <w:p w14:paraId="7345060B" w14:textId="32E6EE9E" w:rsidR="00AE39EE" w:rsidRPr="00C0388B" w:rsidRDefault="00AE39EE">
      <w:pPr>
        <w:pStyle w:val="EndnoteText"/>
        <w:rPr>
          <w:rFonts w:cs="Times New Roman"/>
          <w:sz w:val="24"/>
          <w:szCs w:val="24"/>
        </w:rPr>
      </w:pPr>
    </w:p>
  </w:endnote>
  <w:endnote w:id="2">
    <w:p w14:paraId="77A5576A" w14:textId="77777777"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1" w:name="_Hlk7189306"/>
      <w:r w:rsidRPr="00C0388B">
        <w:rPr>
          <w:rFonts w:cs="Times New Roman"/>
          <w:sz w:val="24"/>
          <w:szCs w:val="24"/>
        </w:rPr>
        <w:t>Glossa Interlinea Ex. 20:7</w:t>
      </w:r>
      <w:bookmarkEnd w:id="1"/>
      <w:r w:rsidRPr="00C0388B">
        <w:rPr>
          <w:rFonts w:cs="Times New Roman"/>
          <w:sz w:val="24"/>
          <w:szCs w:val="24"/>
        </w:rPr>
        <w:t>: iurando scilicet pro nihilo nomen Domini</w:t>
      </w:r>
    </w:p>
    <w:p w14:paraId="2A01F812" w14:textId="418832B1" w:rsidR="00AE39EE" w:rsidRPr="00C0388B" w:rsidRDefault="00AE39EE" w:rsidP="00AE39EE">
      <w:pPr>
        <w:pStyle w:val="EndnoteText"/>
        <w:rPr>
          <w:rFonts w:cs="Times New Roman"/>
          <w:sz w:val="24"/>
          <w:szCs w:val="24"/>
        </w:rPr>
      </w:pPr>
      <w:hyperlink r:id="rId1" w:history="1">
        <w:r w:rsidRPr="00C0388B">
          <w:rPr>
            <w:rStyle w:val="Hyperlink"/>
            <w:rFonts w:cs="Times New Roman"/>
            <w:sz w:val="24"/>
            <w:szCs w:val="24"/>
          </w:rPr>
          <w:t>http://gloss-e.irht.cnrs.fr/php/editions_chapitre.php?livre=../sources/editions/GLOSS-liber04.xml&amp;chapitre=04_20</w:t>
        </w:r>
      </w:hyperlink>
    </w:p>
    <w:p w14:paraId="280D11B3" w14:textId="28969F36" w:rsidR="00AE39EE" w:rsidRPr="00C0388B" w:rsidRDefault="00AE39EE">
      <w:pPr>
        <w:pStyle w:val="EndnoteText"/>
        <w:rPr>
          <w:rFonts w:cs="Times New Roman"/>
          <w:sz w:val="24"/>
          <w:szCs w:val="24"/>
        </w:rPr>
      </w:pPr>
    </w:p>
  </w:endnote>
  <w:endnote w:id="3">
    <w:p w14:paraId="7E33ACF3" w14:textId="77777777"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2" w:name="_Hlk7189410"/>
      <w:r w:rsidRPr="00C0388B">
        <w:rPr>
          <w:rFonts w:cs="Times New Roman"/>
          <w:sz w:val="24"/>
          <w:szCs w:val="24"/>
        </w:rPr>
        <w:t xml:space="preserve">Augustine, </w:t>
      </w:r>
      <w:r w:rsidRPr="00C0388B">
        <w:rPr>
          <w:rFonts w:cs="Times New Roman"/>
          <w:i/>
          <w:sz w:val="24"/>
          <w:szCs w:val="24"/>
        </w:rPr>
        <w:t>In Joannis Evangeilum</w:t>
      </w:r>
      <w:r w:rsidRPr="00C0388B">
        <w:rPr>
          <w:rFonts w:cs="Times New Roman"/>
          <w:sz w:val="24"/>
          <w:szCs w:val="24"/>
        </w:rPr>
        <w:t xml:space="preserve"> tractatus 5 (PL 35:1420)</w:t>
      </w:r>
      <w:bookmarkEnd w:id="2"/>
      <w:r w:rsidRPr="00C0388B">
        <w:rPr>
          <w:rFonts w:cs="Times New Roman"/>
          <w:sz w:val="24"/>
          <w:szCs w:val="24"/>
        </w:rPr>
        <w:t>: Attendat unusquisque vestrum, fratres mei, quid habeat christianus. Quod homo est, commune cum multis: quod christianus est, secernitur a multis; et plus ad illum pertinet quod christianus, quam quod homo.</w:t>
      </w:r>
    </w:p>
    <w:p w14:paraId="68E75669" w14:textId="1F7EDAE7" w:rsidR="00AE39EE" w:rsidRPr="00C0388B" w:rsidRDefault="00AE39EE">
      <w:pPr>
        <w:pStyle w:val="EndnoteText"/>
        <w:rPr>
          <w:rFonts w:cs="Times New Roman"/>
          <w:sz w:val="24"/>
          <w:szCs w:val="24"/>
        </w:rPr>
      </w:pPr>
    </w:p>
  </w:endnote>
  <w:endnote w:id="4">
    <w:p w14:paraId="35CA5E97" w14:textId="27E6F956" w:rsidR="00C0388B" w:rsidRPr="00036756" w:rsidRDefault="00C0388B">
      <w:pPr>
        <w:pStyle w:val="EndnoteText"/>
        <w:rPr>
          <w:sz w:val="24"/>
          <w:szCs w:val="24"/>
        </w:rPr>
      </w:pPr>
      <w:r w:rsidRPr="00C0388B">
        <w:rPr>
          <w:rStyle w:val="EndnoteReference"/>
          <w:sz w:val="24"/>
          <w:szCs w:val="24"/>
        </w:rPr>
        <w:endnoteRef/>
      </w:r>
      <w:r w:rsidRPr="00C0388B">
        <w:rPr>
          <w:sz w:val="24"/>
          <w:szCs w:val="24"/>
        </w:rPr>
        <w:t xml:space="preserve"> Cf. </w:t>
      </w:r>
      <w:r>
        <w:rPr>
          <w:sz w:val="24"/>
          <w:szCs w:val="24"/>
        </w:rPr>
        <w:t xml:space="preserve">Hugh Ripelin of Strasburg, </w:t>
      </w:r>
      <w:r>
        <w:rPr>
          <w:i/>
          <w:iCs/>
          <w:sz w:val="24"/>
          <w:szCs w:val="24"/>
        </w:rPr>
        <w:t>Compendium Theologicae Veritatis</w:t>
      </w:r>
      <w:r>
        <w:rPr>
          <w:sz w:val="24"/>
          <w:szCs w:val="24"/>
        </w:rPr>
        <w:t xml:space="preserve"> 5.61 (8:198a): A ssumitur enim nomen Dei in vanum multipliciter, scilicet, corde, ore, et opere. Corde, sicut mali, qui tantum nomine sine re dicuntur Christiani, qui licet sacramentum receperint baptismi, tamen rem sacramenti, id est gratiam, non habent. </w:t>
      </w:r>
      <w:proofErr w:type="gramStart"/>
      <w:r>
        <w:rPr>
          <w:sz w:val="24"/>
          <w:szCs w:val="24"/>
        </w:rPr>
        <w:t>Ore,  scilicet</w:t>
      </w:r>
      <w:proofErr w:type="gramEnd"/>
      <w:r>
        <w:rPr>
          <w:sz w:val="24"/>
          <w:szCs w:val="24"/>
        </w:rPr>
        <w:t xml:space="preserve"> mala juratione, voti transgressione, praedicatione quae fit mala intentione, et indevota oratione, de qua dicitur: </w:t>
      </w:r>
      <w:r>
        <w:rPr>
          <w:i/>
          <w:iCs/>
          <w:sz w:val="24"/>
          <w:szCs w:val="24"/>
        </w:rPr>
        <w:t>P</w:t>
      </w:r>
      <w:r w:rsidR="00036756">
        <w:rPr>
          <w:i/>
          <w:iCs/>
          <w:sz w:val="24"/>
          <w:szCs w:val="24"/>
        </w:rPr>
        <w:t>opulus hbic labiis me honorat</w:t>
      </w:r>
      <w:r w:rsidR="00036756">
        <w:rPr>
          <w:sz w:val="24"/>
          <w:szCs w:val="24"/>
        </w:rPr>
        <w:t>, etc. Opere, secundum quod hypocritae nomen Dei assumunt in simulatione operis exterioris, non in puritate cordis. Unde sumunt illud in vanum, quia receperunt mercedem suam.</w:t>
      </w:r>
    </w:p>
    <w:p w14:paraId="63C29AD6" w14:textId="77777777" w:rsidR="00C0388B" w:rsidRPr="00C0388B" w:rsidRDefault="00C0388B">
      <w:pPr>
        <w:pStyle w:val="EndnoteText"/>
        <w:rPr>
          <w:sz w:val="24"/>
          <w:szCs w:val="24"/>
        </w:rPr>
      </w:pPr>
    </w:p>
  </w:endnote>
  <w:endnote w:id="5">
    <w:p w14:paraId="4DD828DE" w14:textId="77777777"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r w:rsidRPr="00C0388B">
        <w:rPr>
          <w:rFonts w:cs="Times New Roman"/>
          <w:sz w:val="24"/>
          <w:szCs w:val="24"/>
        </w:rPr>
        <w:t>Cf. (1) The "sacramentum tantum"- which is translated as "the sign only." The sacramentum tantum has a role that is solely an active one. It is that cornerstone which has only one function (which is why it is called the sign only), namely, to signify. But it signifies two different realities; that is, two distinct and separate "res's" -- as will be explained.</w:t>
      </w:r>
    </w:p>
    <w:p w14:paraId="78A4A6DC" w14:textId="77777777" w:rsidR="00AE39EE" w:rsidRPr="00C0388B" w:rsidRDefault="00AE39EE" w:rsidP="00AE39EE">
      <w:pPr>
        <w:pStyle w:val="EndnoteText"/>
        <w:rPr>
          <w:rFonts w:cs="Times New Roman"/>
          <w:sz w:val="24"/>
          <w:szCs w:val="24"/>
        </w:rPr>
      </w:pPr>
    </w:p>
    <w:p w14:paraId="5FA25170" w14:textId="77777777" w:rsidR="00AE39EE" w:rsidRPr="00C0388B" w:rsidRDefault="00AE39EE" w:rsidP="00AE39EE">
      <w:pPr>
        <w:pStyle w:val="EndnoteText"/>
        <w:rPr>
          <w:rFonts w:cs="Times New Roman"/>
          <w:sz w:val="24"/>
          <w:szCs w:val="24"/>
        </w:rPr>
      </w:pPr>
      <w:proofErr w:type="gramStart"/>
      <w:r w:rsidRPr="00C0388B">
        <w:rPr>
          <w:rFonts w:cs="Times New Roman"/>
          <w:sz w:val="24"/>
          <w:szCs w:val="24"/>
        </w:rPr>
        <w:t>Furthermore</w:t>
      </w:r>
      <w:proofErr w:type="gramEnd"/>
      <w:r w:rsidRPr="00C0388B">
        <w:rPr>
          <w:rFonts w:cs="Times New Roman"/>
          <w:sz w:val="24"/>
          <w:szCs w:val="24"/>
        </w:rPr>
        <w:t xml:space="preserve"> this sacramentum tantum consists of two components, both of which are already familiar to us, namely, the matter of the Sacrament, and the form of words that determine the purpose of the sacramental matter. St. Thomas calls the form the "determining principle." These two components -- the matter and the form -- always act together in the process of signifying; they must be "morally united." In the Sacrament of the Holy Eucharist, for example, the sacramentum tantum is the bread and wine joined with the Words of Consecration, which are the form of the Sacrament.</w:t>
      </w:r>
    </w:p>
    <w:p w14:paraId="711B17EA" w14:textId="77777777" w:rsidR="00AE39EE" w:rsidRPr="00C0388B" w:rsidRDefault="00AE39EE" w:rsidP="00AE39EE">
      <w:pPr>
        <w:pStyle w:val="EndnoteText"/>
        <w:rPr>
          <w:rFonts w:cs="Times New Roman"/>
          <w:sz w:val="24"/>
          <w:szCs w:val="24"/>
        </w:rPr>
      </w:pPr>
    </w:p>
    <w:p w14:paraId="3771713B" w14:textId="77777777" w:rsidR="00AE39EE" w:rsidRPr="00C0388B" w:rsidRDefault="00AE39EE" w:rsidP="00AE39EE">
      <w:pPr>
        <w:pStyle w:val="EndnoteText"/>
        <w:rPr>
          <w:rFonts w:cs="Times New Roman"/>
          <w:sz w:val="24"/>
          <w:szCs w:val="24"/>
        </w:rPr>
      </w:pPr>
      <w:r w:rsidRPr="00C0388B">
        <w:rPr>
          <w:rFonts w:cs="Times New Roman"/>
          <w:sz w:val="24"/>
          <w:szCs w:val="24"/>
        </w:rPr>
        <w:t xml:space="preserve">(2) The "res et sacramentum", that is, "a reality and a sign." This cornerstone fulfills two roles, an active one and a passive one. </w:t>
      </w:r>
      <w:proofErr w:type="gramStart"/>
      <w:r w:rsidRPr="00C0388B">
        <w:rPr>
          <w:rFonts w:cs="Times New Roman"/>
          <w:sz w:val="24"/>
          <w:szCs w:val="24"/>
        </w:rPr>
        <w:t>First of all</w:t>
      </w:r>
      <w:proofErr w:type="gramEnd"/>
      <w:r w:rsidRPr="00C0388B">
        <w:rPr>
          <w:rFonts w:cs="Times New Roman"/>
          <w:sz w:val="24"/>
          <w:szCs w:val="24"/>
        </w:rPr>
        <w:t xml:space="preserve">, it is a reality, a res, because it is one of the two separate and distinct realities that are signified by the sacramentum tantum; that is its passive role. But although it is a reality that is itself (by definition) something that is signified, it in turn signifies something else again, thus fulfilling its active role, namely, as a sign. Hence it is readily understood why this cornerstone is said to be both "a reality and a sign" -- it is </w:t>
      </w:r>
      <w:proofErr w:type="gramStart"/>
      <w:r w:rsidRPr="00C0388B">
        <w:rPr>
          <w:rFonts w:cs="Times New Roman"/>
          <w:sz w:val="24"/>
          <w:szCs w:val="24"/>
        </w:rPr>
        <w:t>signified</w:t>
      </w:r>
      <w:proofErr w:type="gramEnd"/>
      <w:r w:rsidRPr="00C0388B">
        <w:rPr>
          <w:rFonts w:cs="Times New Roman"/>
          <w:sz w:val="24"/>
          <w:szCs w:val="24"/>
        </w:rPr>
        <w:t xml:space="preserve"> and it also signifies. Unlike the sacramentum tantum which consists of both matter and words (the form), the res et sacramentum is a silent sign, for it signifies by its very presence, without any words being necessary. In the Sacrament of the Holy Eucharist the True Body of Christ is the res et sacramentum.</w:t>
      </w:r>
    </w:p>
    <w:p w14:paraId="1611BCC7" w14:textId="77777777" w:rsidR="00AE39EE" w:rsidRPr="00C0388B" w:rsidRDefault="00AE39EE" w:rsidP="00AE39EE">
      <w:pPr>
        <w:pStyle w:val="EndnoteText"/>
        <w:rPr>
          <w:rFonts w:cs="Times New Roman"/>
          <w:sz w:val="24"/>
          <w:szCs w:val="24"/>
        </w:rPr>
      </w:pPr>
    </w:p>
    <w:p w14:paraId="4183D7B0" w14:textId="77777777" w:rsidR="00AE39EE" w:rsidRPr="00C0388B" w:rsidRDefault="00AE39EE" w:rsidP="00AE39EE">
      <w:pPr>
        <w:pStyle w:val="EndnoteText"/>
        <w:rPr>
          <w:rFonts w:cs="Times New Roman"/>
          <w:sz w:val="24"/>
          <w:szCs w:val="24"/>
        </w:rPr>
      </w:pPr>
      <w:r w:rsidRPr="00C0388B">
        <w:rPr>
          <w:rFonts w:cs="Times New Roman"/>
          <w:sz w:val="24"/>
          <w:szCs w:val="24"/>
        </w:rPr>
        <w:t xml:space="preserve">(3) Finally, the res tantum, which means "the reality only," is the third cornerstone. It does no signifying; its nature is solely that of a res; hence, res tantum. It is, so to speak, hit from two different directions. It is signified twice; first by the matter and the form of the sacramentum tantum; and </w:t>
      </w:r>
      <w:proofErr w:type="gramStart"/>
      <w:r w:rsidRPr="00C0388B">
        <w:rPr>
          <w:rFonts w:cs="Times New Roman"/>
          <w:sz w:val="24"/>
          <w:szCs w:val="24"/>
        </w:rPr>
        <w:t>also</w:t>
      </w:r>
      <w:proofErr w:type="gramEnd"/>
      <w:r w:rsidRPr="00C0388B">
        <w:rPr>
          <w:rFonts w:cs="Times New Roman"/>
          <w:sz w:val="24"/>
          <w:szCs w:val="24"/>
        </w:rPr>
        <w:t xml:space="preserve"> without words by the res et sacramentum.</w:t>
      </w:r>
    </w:p>
    <w:p w14:paraId="79F65A05" w14:textId="77777777" w:rsidR="00AE39EE" w:rsidRPr="00C0388B" w:rsidRDefault="00AE39EE" w:rsidP="00AE39EE">
      <w:pPr>
        <w:pStyle w:val="EndnoteText"/>
        <w:rPr>
          <w:rFonts w:cs="Times New Roman"/>
          <w:sz w:val="24"/>
          <w:szCs w:val="24"/>
        </w:rPr>
      </w:pPr>
    </w:p>
    <w:p w14:paraId="7AE85EE9" w14:textId="77777777" w:rsidR="00AE39EE" w:rsidRPr="00C0388B" w:rsidRDefault="00AE39EE" w:rsidP="00AE39EE">
      <w:pPr>
        <w:pStyle w:val="EndnoteText"/>
        <w:rPr>
          <w:rFonts w:cs="Times New Roman"/>
          <w:sz w:val="24"/>
          <w:szCs w:val="24"/>
        </w:rPr>
      </w:pPr>
      <w:r w:rsidRPr="00C0388B">
        <w:rPr>
          <w:rFonts w:cs="Times New Roman"/>
          <w:sz w:val="24"/>
          <w:szCs w:val="24"/>
        </w:rPr>
        <w:t>Instead of res tantum it is often called by that other term with which we are already familiar, namely, the "Res Sacramenti," which is translated as "the Reality of the Sacrament." Notice the definite article, "the"; it is the reality of the Sacrament, not just a reality. Other ways of expressing this are "the effect" or the "grace proper" of the Sacrament. This third cornerstone, the effect of the</w:t>
      </w:r>
    </w:p>
    <w:p w14:paraId="3F8DFC77" w14:textId="77777777" w:rsidR="00AE39EE" w:rsidRPr="00C0388B" w:rsidRDefault="00AE39EE" w:rsidP="00AE39EE">
      <w:pPr>
        <w:pStyle w:val="EndnoteText"/>
        <w:rPr>
          <w:rFonts w:cs="Times New Roman"/>
          <w:sz w:val="24"/>
          <w:szCs w:val="24"/>
        </w:rPr>
      </w:pPr>
      <w:proofErr w:type="gramStart"/>
      <w:r w:rsidRPr="00C0388B">
        <w:rPr>
          <w:rFonts w:cs="Times New Roman"/>
          <w:sz w:val="24"/>
          <w:szCs w:val="24"/>
        </w:rPr>
        <w:t>Sacrament of the Holy Eucharist,</w:t>
      </w:r>
      <w:proofErr w:type="gramEnd"/>
      <w:r w:rsidRPr="00C0388B">
        <w:rPr>
          <w:rFonts w:cs="Times New Roman"/>
          <w:sz w:val="24"/>
          <w:szCs w:val="24"/>
        </w:rPr>
        <w:t xml:space="preserve"> is the union of the Mystical Body. Or perhaps it is better said that the effect on the recipient is his more intense and firmer incorporation in the Mystical Body. This effect is sacramental grace.</w:t>
      </w:r>
    </w:p>
    <w:p w14:paraId="42E959DD" w14:textId="6F4B9461" w:rsidR="00AE39EE" w:rsidRPr="00C0388B" w:rsidRDefault="00AE39EE" w:rsidP="00AE39EE">
      <w:pPr>
        <w:pStyle w:val="EndnoteText"/>
        <w:rPr>
          <w:rFonts w:cs="Times New Roman"/>
          <w:sz w:val="24"/>
          <w:szCs w:val="24"/>
        </w:rPr>
      </w:pPr>
      <w:hyperlink r:id="rId2" w:history="1">
        <w:r w:rsidRPr="00C0388B">
          <w:rPr>
            <w:rStyle w:val="Hyperlink"/>
            <w:rFonts w:cs="Times New Roman"/>
            <w:sz w:val="24"/>
            <w:szCs w:val="24"/>
          </w:rPr>
          <w:t>https://www.cathinfo.com/crisis-in-the-church/res-sacramenti-what-is-it-why-does-it-matter/</w:t>
        </w:r>
      </w:hyperlink>
    </w:p>
    <w:p w14:paraId="00DD6F47" w14:textId="0D294A94" w:rsidR="00AE39EE" w:rsidRPr="00C0388B" w:rsidRDefault="00AE39EE">
      <w:pPr>
        <w:pStyle w:val="EndnoteText"/>
        <w:rPr>
          <w:rFonts w:cs="Times New Roman"/>
          <w:sz w:val="24"/>
          <w:szCs w:val="24"/>
        </w:rPr>
      </w:pPr>
    </w:p>
  </w:endnote>
  <w:endnote w:id="6">
    <w:p w14:paraId="4FB78B47" w14:textId="55D74CF9" w:rsidR="00AE39EE" w:rsidRPr="00C0388B" w:rsidRDefault="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3" w:name="_Hlk7189611"/>
      <w:r w:rsidRPr="00C0388B">
        <w:rPr>
          <w:rFonts w:cs="Times New Roman"/>
          <w:sz w:val="24"/>
          <w:szCs w:val="24"/>
        </w:rPr>
        <w:t xml:space="preserve">Augustine, </w:t>
      </w:r>
      <w:r w:rsidRPr="00C0388B">
        <w:rPr>
          <w:rFonts w:cs="Times New Roman"/>
          <w:i/>
          <w:sz w:val="24"/>
          <w:szCs w:val="24"/>
        </w:rPr>
        <w:t>Sermo De scripturis</w:t>
      </w:r>
      <w:r w:rsidRPr="00C0388B">
        <w:rPr>
          <w:rFonts w:cs="Times New Roman"/>
          <w:sz w:val="24"/>
          <w:szCs w:val="24"/>
        </w:rPr>
        <w:t xml:space="preserve"> 180.4.4 (PL 38:974)</w:t>
      </w:r>
      <w:bookmarkEnd w:id="3"/>
      <w:r w:rsidRPr="00C0388B">
        <w:rPr>
          <w:rFonts w:cs="Times New Roman"/>
          <w:sz w:val="24"/>
          <w:szCs w:val="24"/>
        </w:rPr>
        <w:t>: Duo sunt, inquit, quae non damno unquam; veram jurationem, et nullam jurationem: damno autem falsam jurationem. Falsa juratio exitiosa est, vera juratio periculosa est, nulla juratio secura est.</w:t>
      </w:r>
    </w:p>
    <w:p w14:paraId="3FB0DAFA" w14:textId="77777777" w:rsidR="00AE39EE" w:rsidRPr="00C0388B" w:rsidRDefault="00AE39EE">
      <w:pPr>
        <w:pStyle w:val="EndnoteText"/>
        <w:rPr>
          <w:rFonts w:cs="Times New Roman"/>
          <w:sz w:val="24"/>
          <w:szCs w:val="24"/>
        </w:rPr>
      </w:pPr>
    </w:p>
  </w:endnote>
  <w:endnote w:id="7">
    <w:p w14:paraId="3C948B72" w14:textId="3BCAD49E"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4" w:name="_Hlk7189721"/>
      <w:r w:rsidRPr="00C0388B">
        <w:rPr>
          <w:rFonts w:cs="Times New Roman"/>
          <w:sz w:val="24"/>
          <w:szCs w:val="24"/>
        </w:rPr>
        <w:t>Decretum, Causa 22, quest. 5, c. 15</w:t>
      </w:r>
      <w:bookmarkEnd w:id="4"/>
      <w:r w:rsidRPr="00C0388B">
        <w:rPr>
          <w:rFonts w:cs="Times New Roman"/>
          <w:sz w:val="24"/>
          <w:szCs w:val="24"/>
        </w:rPr>
        <w:t>, Pueri ante quatuordecim annos non cogantur iurare. Puella quoque, si in puerili etate sita in domo patris, illo nesciente, se iuramento constrinxerit, et pater eius, ut audierit, statim contradixerit, uota eius et iuramenta irrita erunt, et facilius emendabitur.</w:t>
      </w:r>
    </w:p>
    <w:p w14:paraId="6E8B3DFE" w14:textId="29B675AC" w:rsidR="00AE39EE" w:rsidRPr="00C0388B" w:rsidRDefault="00AE39EE">
      <w:pPr>
        <w:pStyle w:val="EndnoteText"/>
        <w:rPr>
          <w:rFonts w:cs="Times New Roman"/>
          <w:sz w:val="24"/>
          <w:szCs w:val="24"/>
        </w:rPr>
      </w:pPr>
    </w:p>
  </w:endnote>
  <w:endnote w:id="8">
    <w:p w14:paraId="10C247AD" w14:textId="77777777"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Raymond of Peñafort, </w:t>
      </w:r>
      <w:r w:rsidRPr="00C0388B">
        <w:rPr>
          <w:rFonts w:cs="Times New Roman"/>
          <w:i/>
          <w:sz w:val="24"/>
          <w:szCs w:val="24"/>
        </w:rPr>
        <w:t>Summa de Paenitentia</w:t>
      </w:r>
      <w:r w:rsidRPr="00C0388B">
        <w:rPr>
          <w:rFonts w:cs="Times New Roman"/>
          <w:sz w:val="24"/>
          <w:szCs w:val="24"/>
        </w:rPr>
        <w:t xml:space="preserve"> lib. 1, tit. 9, c. 1 (B:363): Ex his patet quod iuramentum licitum est, et bonum, et etiam meritorium, cum per ipsum proximo subveniatur ad quod tenemur ex praeceptio: “Diliges proximum tuum sicut teipsum; et Psalmus: Domine quis hatitabit in tabernaculo tuo? Qui jurat proximo suo et non decipit.” </w:t>
      </w:r>
    </w:p>
    <w:p w14:paraId="08447405" w14:textId="77777777" w:rsidR="00AE39EE" w:rsidRPr="00C0388B" w:rsidRDefault="00AE39EE" w:rsidP="00AE39EE">
      <w:pPr>
        <w:pStyle w:val="EndnoteText"/>
        <w:rPr>
          <w:rFonts w:cs="Times New Roman"/>
          <w:sz w:val="24"/>
          <w:szCs w:val="24"/>
        </w:rPr>
      </w:pPr>
    </w:p>
  </w:endnote>
  <w:endnote w:id="9">
    <w:p w14:paraId="27A926C9" w14:textId="77777777"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r w:rsidRPr="00C0388B">
        <w:rPr>
          <w:rFonts w:cs="Times New Roman"/>
          <w:sz w:val="24"/>
          <w:szCs w:val="24"/>
        </w:rPr>
        <w:t>Versus, cf. Digital index of Middle English verse #3037: Law and lose and rich</w:t>
      </w:r>
    </w:p>
    <w:p w14:paraId="1F41A717" w14:textId="77777777" w:rsidR="00AE39EE" w:rsidRPr="00C0388B" w:rsidRDefault="00AE39EE" w:rsidP="00AE39EE">
      <w:pPr>
        <w:pStyle w:val="EndnoteText"/>
        <w:rPr>
          <w:rFonts w:cs="Times New Roman"/>
          <w:sz w:val="24"/>
          <w:szCs w:val="24"/>
        </w:rPr>
      </w:pPr>
      <w:r w:rsidRPr="00C0388B">
        <w:rPr>
          <w:rFonts w:cs="Times New Roman"/>
          <w:sz w:val="24"/>
          <w:szCs w:val="24"/>
        </w:rPr>
        <w:t>On oaths — one couplet translating ‘Lex et fama fides reuerencia caucio dampni / Defectus veri tibi dant iurare licenter’ which precedes it in John Grimestone’s sermon notebook</w:t>
      </w:r>
    </w:p>
    <w:p w14:paraId="34B3EE6E" w14:textId="77777777" w:rsidR="00AE39EE" w:rsidRPr="00C0388B" w:rsidRDefault="00AE39EE" w:rsidP="00AE39EE">
      <w:pPr>
        <w:pStyle w:val="EndnoteText"/>
        <w:rPr>
          <w:rFonts w:cs="Times New Roman"/>
          <w:sz w:val="24"/>
          <w:szCs w:val="24"/>
        </w:rPr>
      </w:pPr>
      <w:r w:rsidRPr="00C0388B">
        <w:rPr>
          <w:rFonts w:cs="Times New Roman"/>
          <w:sz w:val="24"/>
          <w:szCs w:val="24"/>
        </w:rPr>
        <w:t>Author(s): John Grimestone</w:t>
      </w:r>
    </w:p>
    <w:p w14:paraId="75CEB9F7" w14:textId="77777777" w:rsidR="00AE39EE" w:rsidRPr="00C0388B" w:rsidRDefault="00AE39EE" w:rsidP="00AE39EE">
      <w:pPr>
        <w:pStyle w:val="EndnoteText"/>
        <w:rPr>
          <w:rFonts w:cs="Times New Roman"/>
          <w:sz w:val="24"/>
          <w:szCs w:val="24"/>
        </w:rPr>
      </w:pPr>
      <w:r w:rsidRPr="00C0388B">
        <w:rPr>
          <w:rFonts w:cs="Times New Roman"/>
          <w:sz w:val="24"/>
          <w:szCs w:val="24"/>
        </w:rPr>
        <w:t>Subjects: translations; aphorisms</w:t>
      </w:r>
    </w:p>
    <w:p w14:paraId="16C127ED" w14:textId="77777777" w:rsidR="00AE39EE" w:rsidRPr="00C0388B" w:rsidRDefault="00AE39EE" w:rsidP="00AE39EE">
      <w:pPr>
        <w:pStyle w:val="EndnoteText"/>
        <w:rPr>
          <w:rFonts w:cs="Times New Roman"/>
          <w:sz w:val="24"/>
          <w:szCs w:val="24"/>
        </w:rPr>
      </w:pPr>
      <w:r w:rsidRPr="00C0388B">
        <w:rPr>
          <w:rFonts w:cs="Times New Roman"/>
          <w:sz w:val="24"/>
          <w:szCs w:val="24"/>
        </w:rPr>
        <w:t>Versification: — two-line — aa</w:t>
      </w:r>
    </w:p>
    <w:p w14:paraId="0B2577DB" w14:textId="77777777" w:rsidR="00AE39EE" w:rsidRPr="00C0388B" w:rsidRDefault="00AE39EE" w:rsidP="00AE39EE">
      <w:pPr>
        <w:pStyle w:val="EndnoteText"/>
        <w:rPr>
          <w:rFonts w:cs="Times New Roman"/>
          <w:sz w:val="24"/>
          <w:szCs w:val="24"/>
        </w:rPr>
      </w:pPr>
      <w:r w:rsidRPr="00C0388B">
        <w:rPr>
          <w:rFonts w:cs="Times New Roman"/>
          <w:sz w:val="24"/>
          <w:szCs w:val="24"/>
        </w:rPr>
        <w:t>Manuscript Witnesses:</w:t>
      </w:r>
    </w:p>
    <w:p w14:paraId="3773CE59" w14:textId="77777777" w:rsidR="00AE39EE" w:rsidRPr="00C0388B" w:rsidRDefault="00AE39EE" w:rsidP="00AE39EE">
      <w:pPr>
        <w:pStyle w:val="EndnoteText"/>
        <w:rPr>
          <w:rFonts w:cs="Times New Roman"/>
          <w:sz w:val="24"/>
          <w:szCs w:val="24"/>
        </w:rPr>
      </w:pPr>
      <w:r w:rsidRPr="00C0388B">
        <w:rPr>
          <w:rFonts w:cs="Times New Roman"/>
          <w:sz w:val="24"/>
          <w:szCs w:val="24"/>
        </w:rPr>
        <w:t>Source: Edinburgh, National Library of Scotland, Advocates’ 18.7.21, f. 70v</w:t>
      </w:r>
    </w:p>
    <w:p w14:paraId="70BFF23D" w14:textId="77777777" w:rsidR="00AE39EE" w:rsidRPr="00C0388B" w:rsidRDefault="00AE39EE" w:rsidP="00AE39EE">
      <w:pPr>
        <w:pStyle w:val="EndnoteText"/>
        <w:rPr>
          <w:rFonts w:cs="Times New Roman"/>
          <w:sz w:val="24"/>
          <w:szCs w:val="24"/>
        </w:rPr>
      </w:pPr>
      <w:r w:rsidRPr="00C0388B">
        <w:rPr>
          <w:rFonts w:cs="Times New Roman"/>
          <w:sz w:val="24"/>
          <w:szCs w:val="24"/>
        </w:rPr>
        <w:t>Transcription:</w:t>
      </w:r>
    </w:p>
    <w:p w14:paraId="0EBCFA0F" w14:textId="77777777" w:rsidR="00AE39EE" w:rsidRPr="00C0388B" w:rsidRDefault="00AE39EE" w:rsidP="00AE39EE">
      <w:pPr>
        <w:pStyle w:val="EndnoteText"/>
        <w:rPr>
          <w:rFonts w:cs="Times New Roman"/>
          <w:sz w:val="24"/>
          <w:szCs w:val="24"/>
        </w:rPr>
      </w:pPr>
      <w:r w:rsidRPr="00C0388B">
        <w:rPr>
          <w:rFonts w:cs="Times New Roman"/>
          <w:sz w:val="24"/>
          <w:szCs w:val="24"/>
        </w:rPr>
        <w:t>Lawe an los &amp; rich worchipe &amp; of lore drede</w:t>
      </w:r>
    </w:p>
    <w:p w14:paraId="02D1DA82" w14:textId="77777777" w:rsidR="00AE39EE" w:rsidRPr="00C0388B" w:rsidRDefault="00AE39EE" w:rsidP="00AE39EE">
      <w:pPr>
        <w:pStyle w:val="EndnoteText"/>
        <w:rPr>
          <w:rFonts w:cs="Times New Roman"/>
          <w:sz w:val="24"/>
          <w:szCs w:val="24"/>
        </w:rPr>
      </w:pPr>
      <w:r w:rsidRPr="00C0388B">
        <w:rPr>
          <w:rFonts w:cs="Times New Roman"/>
          <w:sz w:val="24"/>
          <w:szCs w:val="24"/>
        </w:rPr>
        <w:t>&amp; defaute of rith maket man to sueren in nede</w:t>
      </w:r>
    </w:p>
    <w:p w14:paraId="47B86486" w14:textId="77777777" w:rsidR="00AE39EE" w:rsidRPr="00C0388B" w:rsidRDefault="00AE39EE" w:rsidP="00AE39EE">
      <w:pPr>
        <w:pStyle w:val="EndnoteText"/>
        <w:rPr>
          <w:rFonts w:cs="Times New Roman"/>
          <w:sz w:val="24"/>
          <w:szCs w:val="24"/>
        </w:rPr>
      </w:pPr>
      <w:r w:rsidRPr="00C0388B">
        <w:rPr>
          <w:rFonts w:cs="Times New Roman"/>
          <w:sz w:val="24"/>
          <w:szCs w:val="24"/>
        </w:rPr>
        <w:t>Attributed Title: De Iuramento (f. 70v)</w:t>
      </w:r>
    </w:p>
    <w:p w14:paraId="07F54479" w14:textId="77777777" w:rsidR="00AE39EE" w:rsidRPr="00C0388B" w:rsidRDefault="00AE39EE" w:rsidP="00AE39EE">
      <w:pPr>
        <w:pStyle w:val="EndnoteText"/>
        <w:rPr>
          <w:rFonts w:cs="Times New Roman"/>
          <w:sz w:val="24"/>
          <w:szCs w:val="24"/>
        </w:rPr>
      </w:pPr>
      <w:r w:rsidRPr="00C0388B">
        <w:rPr>
          <w:rFonts w:cs="Times New Roman"/>
          <w:sz w:val="24"/>
          <w:szCs w:val="24"/>
        </w:rPr>
        <w:t xml:space="preserve">Editions: </w:t>
      </w:r>
    </w:p>
    <w:p w14:paraId="53D23D30" w14:textId="3B2F5B32" w:rsidR="00AE39EE" w:rsidRPr="00C0388B" w:rsidRDefault="00AE39EE" w:rsidP="00AE39EE">
      <w:pPr>
        <w:pStyle w:val="EndnoteText"/>
        <w:rPr>
          <w:rFonts w:cs="Times New Roman"/>
          <w:sz w:val="24"/>
          <w:szCs w:val="24"/>
        </w:rPr>
      </w:pPr>
      <w:r w:rsidRPr="00C0388B">
        <w:rPr>
          <w:rFonts w:cs="Times New Roman"/>
          <w:sz w:val="24"/>
          <w:szCs w:val="24"/>
        </w:rPr>
        <w:t>Wilson, Edward. A Descriptive Index of the English Lyrics in John of Grimestone’s Preaching Book. Medium Ævum Monographs n.s. 2. Oxford, 1973: 20.</w:t>
      </w:r>
    </w:p>
    <w:p w14:paraId="22CA62CF" w14:textId="77777777" w:rsidR="00AE39EE" w:rsidRPr="00C0388B" w:rsidRDefault="00AE39EE" w:rsidP="00AE39EE">
      <w:pPr>
        <w:pStyle w:val="EndnoteText"/>
        <w:rPr>
          <w:rFonts w:cs="Times New Roman"/>
          <w:sz w:val="24"/>
          <w:szCs w:val="24"/>
        </w:rPr>
      </w:pPr>
    </w:p>
  </w:endnote>
  <w:endnote w:id="10">
    <w:p w14:paraId="6842DED7" w14:textId="77777777" w:rsidR="00AE39EE" w:rsidRPr="00C0388B" w:rsidRDefault="00AE39EE" w:rsidP="00AE39EE">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r w:rsidRPr="00C0388B">
        <w:rPr>
          <w:rFonts w:cs="Times New Roman"/>
          <w:sz w:val="24"/>
          <w:szCs w:val="24"/>
        </w:rPr>
        <w:t xml:space="preserve">Augustine, cf. </w:t>
      </w:r>
      <w:r w:rsidRPr="00C0388B">
        <w:rPr>
          <w:rFonts w:cs="Times New Roman"/>
          <w:i/>
          <w:sz w:val="24"/>
          <w:szCs w:val="24"/>
        </w:rPr>
        <w:t>De civitate Dei</w:t>
      </w:r>
      <w:r w:rsidRPr="00C0388B">
        <w:rPr>
          <w:rFonts w:cs="Times New Roman"/>
          <w:sz w:val="24"/>
          <w:szCs w:val="24"/>
        </w:rPr>
        <w:t xml:space="preserve"> 1.25 (PL 41:38): At enim timendum est et cavendum, ne libidini hostili subditum corpus illecebrosissima voluptate animum alliciat consentire peccato. Proinde, inquiunt, non jam propter alienum, sed propter suum peccatum, antequam hoc quisque committat, se debet occidere. Nullo modo quidem hoc faciet animus, ut consentiat libidini carnis suae aliena libidine concitatae, qui Deo potius ejusque sapientiae, quam corporis concupiscentiae subjectus est.</w:t>
      </w:r>
    </w:p>
    <w:p w14:paraId="1744A175" w14:textId="686BDB89" w:rsidR="00AE39EE" w:rsidRPr="00C0388B" w:rsidRDefault="00AE39EE">
      <w:pPr>
        <w:pStyle w:val="EndnoteText"/>
        <w:rPr>
          <w:rFonts w:cs="Times New Roman"/>
          <w:sz w:val="24"/>
          <w:szCs w:val="24"/>
        </w:rPr>
      </w:pPr>
    </w:p>
  </w:endnote>
  <w:endnote w:id="11">
    <w:p w14:paraId="68934D47" w14:textId="300DE349" w:rsidR="00AE39EE" w:rsidRPr="00C0388B" w:rsidRDefault="00AE39EE" w:rsidP="00AE39EE">
      <w:pPr>
        <w:pStyle w:val="EndnoteText"/>
        <w:rPr>
          <w:rFonts w:cs="Times New Roman"/>
          <w:iCs/>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5" w:name="_Hlk7192201"/>
      <w:r w:rsidRPr="00C0388B">
        <w:rPr>
          <w:rFonts w:cs="Times New Roman"/>
          <w:sz w:val="24"/>
          <w:szCs w:val="24"/>
        </w:rPr>
        <w:t>Decretum, Causa 14, quest. 2, c. 1</w:t>
      </w:r>
      <w:bookmarkEnd w:id="5"/>
      <w:r w:rsidRPr="00C0388B">
        <w:rPr>
          <w:rFonts w:cs="Times New Roman"/>
          <w:sz w:val="24"/>
          <w:szCs w:val="24"/>
        </w:rPr>
        <w:t xml:space="preserve">, </w:t>
      </w:r>
      <w:r w:rsidRPr="00C0388B">
        <w:rPr>
          <w:rFonts w:cs="Times New Roman"/>
          <w:i/>
          <w:sz w:val="24"/>
          <w:szCs w:val="24"/>
        </w:rPr>
        <w:t>Super prudentia.</w:t>
      </w:r>
      <w:r w:rsidR="009A3EAF" w:rsidRPr="00C0388B">
        <w:rPr>
          <w:rFonts w:cs="Times New Roman"/>
          <w:iCs/>
          <w:sz w:val="24"/>
          <w:szCs w:val="24"/>
        </w:rPr>
        <w:t xml:space="preserve"> ... </w:t>
      </w:r>
      <w:r w:rsidR="009A3EAF" w:rsidRPr="00C0388B">
        <w:rPr>
          <w:rFonts w:cs="Times New Roman"/>
          <w:sz w:val="24"/>
          <w:szCs w:val="24"/>
        </w:rPr>
        <w:t>Si ergo idem clerici idonei sunt ad assertionem causæ illius, nullatenus remoueantur, sed, sicut aliis litteris deliberatum est, inter S. Iohannis et S. Stephani canonicos lis illa plenius decidatur.</w:t>
      </w:r>
    </w:p>
    <w:p w14:paraId="2AF7759E" w14:textId="76088CE2" w:rsidR="00AE39EE" w:rsidRPr="00C0388B" w:rsidRDefault="00AE39EE">
      <w:pPr>
        <w:pStyle w:val="EndnoteText"/>
        <w:rPr>
          <w:rFonts w:cs="Times New Roman"/>
          <w:sz w:val="24"/>
          <w:szCs w:val="24"/>
        </w:rPr>
      </w:pPr>
    </w:p>
  </w:endnote>
  <w:endnote w:id="12">
    <w:p w14:paraId="29EE1E90" w14:textId="77777777" w:rsidR="001F1140" w:rsidRPr="00C0388B" w:rsidRDefault="001F1140" w:rsidP="001F1140">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6" w:name="_Hlk7192267"/>
      <w:r w:rsidRPr="00C0388B">
        <w:rPr>
          <w:rFonts w:cs="Times New Roman"/>
          <w:sz w:val="24"/>
          <w:szCs w:val="24"/>
        </w:rPr>
        <w:t>Decretum, Causa 22, quest. 1, c. 1</w:t>
      </w:r>
      <w:bookmarkEnd w:id="6"/>
      <w:r w:rsidRPr="00C0388B">
        <w:rPr>
          <w:rFonts w:cs="Times New Roman"/>
          <w:sz w:val="24"/>
          <w:szCs w:val="24"/>
        </w:rPr>
        <w:t>, Omne, quod in federa pacis uenit, tunc solidius subsistit, cum iuramenti hoc interpositio roborat. Sed et omne, quod amicorum animos conciliat, tunc fidelius durat, cum eos sacramenti uincula ligant. Omne enim, quod testis adstipulatur, uerius constat, cum id iurationis adiectio affirmat. Quod et si testis deficiat, innocentis fidem sola iurisiurandi taxatio manifestat.</w:t>
      </w:r>
    </w:p>
    <w:p w14:paraId="3AB276F9" w14:textId="2F1755CD" w:rsidR="001F1140" w:rsidRPr="00C0388B" w:rsidRDefault="001F1140">
      <w:pPr>
        <w:pStyle w:val="EndnoteText"/>
        <w:rPr>
          <w:rFonts w:cs="Times New Roman"/>
          <w:sz w:val="24"/>
          <w:szCs w:val="24"/>
        </w:rPr>
      </w:pPr>
    </w:p>
  </w:endnote>
  <w:endnote w:id="13">
    <w:p w14:paraId="1AA118BC" w14:textId="77777777" w:rsidR="001F1140" w:rsidRPr="00C0388B" w:rsidRDefault="001F1140" w:rsidP="001F1140">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7" w:name="_Hlk7192322"/>
      <w:r w:rsidRPr="00C0388B">
        <w:rPr>
          <w:rFonts w:cs="Times New Roman"/>
          <w:sz w:val="24"/>
          <w:szCs w:val="24"/>
        </w:rPr>
        <w:t xml:space="preserve">Decretum, </w:t>
      </w:r>
      <w:r w:rsidRPr="00C0388B">
        <w:rPr>
          <w:rFonts w:cs="Times New Roman"/>
          <w:i/>
          <w:sz w:val="24"/>
          <w:szCs w:val="24"/>
        </w:rPr>
        <w:t>De consecratione</w:t>
      </w:r>
      <w:r w:rsidRPr="00C0388B">
        <w:rPr>
          <w:rFonts w:cs="Times New Roman"/>
          <w:sz w:val="24"/>
          <w:szCs w:val="24"/>
        </w:rPr>
        <w:t>, dist. 2, c. 42</w:t>
      </w:r>
      <w:bookmarkEnd w:id="7"/>
      <w:r w:rsidRPr="00C0388B">
        <w:rPr>
          <w:rFonts w:cs="Times New Roman"/>
          <w:sz w:val="24"/>
          <w:szCs w:val="24"/>
        </w:rPr>
        <w:t>, Ego Berengarius, indignus ecclesiae S. Mauritii Andegauensis diaconus, cognoscens ueram, catholicam et apostolicam fidem, anathematizo omnem</w:t>
      </w:r>
    </w:p>
    <w:p w14:paraId="313EA509" w14:textId="77777777" w:rsidR="001F1140" w:rsidRPr="00C0388B" w:rsidRDefault="001F1140" w:rsidP="001F1140">
      <w:pPr>
        <w:pStyle w:val="EndnoteText"/>
        <w:rPr>
          <w:rFonts w:cs="Times New Roman"/>
          <w:sz w:val="24"/>
          <w:szCs w:val="24"/>
        </w:rPr>
      </w:pPr>
      <w:r w:rsidRPr="00C0388B">
        <w:rPr>
          <w:rFonts w:cs="Times New Roman"/>
          <w:sz w:val="24"/>
          <w:szCs w:val="24"/>
        </w:rPr>
        <w:t>heresim, precipue eam, de qua hactenus infamatus sum,</w:t>
      </w:r>
    </w:p>
    <w:p w14:paraId="4B4E21B6" w14:textId="77777777" w:rsidR="001F1140" w:rsidRPr="00C0388B" w:rsidRDefault="001F1140" w:rsidP="001F1140">
      <w:pPr>
        <w:pStyle w:val="EndnoteText"/>
        <w:rPr>
          <w:rFonts w:cs="Times New Roman"/>
          <w:sz w:val="24"/>
          <w:szCs w:val="24"/>
        </w:rPr>
      </w:pPr>
      <w:r w:rsidRPr="00C0388B">
        <w:rPr>
          <w:rFonts w:cs="Times New Roman"/>
          <w:sz w:val="24"/>
          <w:szCs w:val="24"/>
        </w:rPr>
        <w:t>que astruere conatur, panem et uinum, que in altari ponuntur,</w:t>
      </w:r>
    </w:p>
    <w:p w14:paraId="0F701BFC" w14:textId="77777777" w:rsidR="001F1140" w:rsidRPr="00C0388B" w:rsidRDefault="001F1140" w:rsidP="001F1140">
      <w:pPr>
        <w:pStyle w:val="EndnoteText"/>
        <w:rPr>
          <w:rFonts w:cs="Times New Roman"/>
          <w:sz w:val="24"/>
          <w:szCs w:val="24"/>
        </w:rPr>
      </w:pPr>
      <w:r w:rsidRPr="00C0388B">
        <w:rPr>
          <w:rFonts w:cs="Times New Roman"/>
          <w:sz w:val="24"/>
          <w:szCs w:val="24"/>
        </w:rPr>
        <w:t>post consecrationem solummodo sacramentum, et non</w:t>
      </w:r>
    </w:p>
    <w:p w14:paraId="5AEE565B" w14:textId="77777777" w:rsidR="001F1140" w:rsidRPr="00C0388B" w:rsidRDefault="001F1140" w:rsidP="001F1140">
      <w:pPr>
        <w:pStyle w:val="EndnoteText"/>
        <w:rPr>
          <w:rFonts w:cs="Times New Roman"/>
          <w:sz w:val="24"/>
          <w:szCs w:val="24"/>
        </w:rPr>
      </w:pPr>
      <w:r w:rsidRPr="00C0388B">
        <w:rPr>
          <w:rFonts w:cs="Times New Roman"/>
          <w:sz w:val="24"/>
          <w:szCs w:val="24"/>
        </w:rPr>
        <w:t>uerum corpus et sanguinem Domini nostri Iesu Christi …</w:t>
      </w:r>
    </w:p>
    <w:p w14:paraId="0BEAFD8D" w14:textId="0473C9AA" w:rsidR="001F1140" w:rsidRPr="00C0388B" w:rsidRDefault="001F1140">
      <w:pPr>
        <w:pStyle w:val="EndnoteText"/>
        <w:rPr>
          <w:rFonts w:cs="Times New Roman"/>
          <w:sz w:val="24"/>
          <w:szCs w:val="24"/>
        </w:rPr>
      </w:pPr>
    </w:p>
  </w:endnote>
  <w:endnote w:id="14">
    <w:p w14:paraId="0E8431C9" w14:textId="0A5A23FD" w:rsidR="009A3EAF" w:rsidRPr="00C0388B" w:rsidRDefault="009A3EAF">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Decretales, X.5.</w:t>
      </w:r>
      <w:r w:rsidR="00C73891" w:rsidRPr="00C0388B">
        <w:rPr>
          <w:rFonts w:cs="Times New Roman"/>
          <w:sz w:val="24"/>
          <w:szCs w:val="24"/>
        </w:rPr>
        <w:t xml:space="preserve">34.5: Quoties Tridentinus ... episcopus </w:t>
      </w:r>
      <w:r w:rsidR="00C73891" w:rsidRPr="00C0388B">
        <w:rPr>
          <w:rFonts w:cs="Times New Roman"/>
          <w:i/>
          <w:iCs/>
          <w:sz w:val="24"/>
          <w:szCs w:val="24"/>
        </w:rPr>
        <w:t>in nostra et vestra praesentia</w:t>
      </w:r>
      <w:r w:rsidR="00C73891" w:rsidRPr="00C0388B">
        <w:rPr>
          <w:rFonts w:cs="Times New Roman"/>
          <w:sz w:val="24"/>
          <w:szCs w:val="24"/>
        </w:rPr>
        <w:t xml:space="preserve"> de simonia impetitus sit, vos latere non credimus, sed accusatores, scriptum afferentes, testes secundum formam canonicam producere nequiverunt, scilicet quod ecclesiam sancti Petri presbytero P. dederit pro quatuor modiis frumenti....</w:t>
      </w:r>
    </w:p>
    <w:p w14:paraId="34346978" w14:textId="77777777" w:rsidR="009A3EAF" w:rsidRPr="00C0388B" w:rsidRDefault="009A3EAF">
      <w:pPr>
        <w:pStyle w:val="EndnoteText"/>
        <w:rPr>
          <w:rFonts w:cs="Times New Roman"/>
          <w:sz w:val="24"/>
          <w:szCs w:val="24"/>
        </w:rPr>
      </w:pPr>
    </w:p>
  </w:endnote>
  <w:endnote w:id="15">
    <w:p w14:paraId="5044ADEF" w14:textId="6024FA2A" w:rsidR="001F1140" w:rsidRPr="00C0388B" w:rsidRDefault="001F1140" w:rsidP="001F1140">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8" w:name="_Hlk7192373"/>
      <w:r w:rsidRPr="00C0388B">
        <w:rPr>
          <w:rFonts w:cs="Times New Roman"/>
          <w:sz w:val="24"/>
          <w:szCs w:val="24"/>
        </w:rPr>
        <w:t>Decretales, X.</w:t>
      </w:r>
      <w:bookmarkEnd w:id="8"/>
      <w:r w:rsidR="00DB1112" w:rsidRPr="00C0388B">
        <w:rPr>
          <w:rFonts w:cs="Times New Roman"/>
          <w:sz w:val="24"/>
          <w:szCs w:val="24"/>
        </w:rPr>
        <w:t>1.33.1</w:t>
      </w:r>
      <w:r w:rsidR="00DB1112" w:rsidRPr="00C0388B">
        <w:rPr>
          <w:rFonts w:cs="Times New Roman"/>
          <w:sz w:val="24"/>
          <w:szCs w:val="24"/>
        </w:rPr>
        <w:t>:</w:t>
      </w:r>
      <w:r w:rsidR="00DB1112" w:rsidRPr="00C0388B">
        <w:rPr>
          <w:rFonts w:cs="Times New Roman"/>
          <w:sz w:val="24"/>
          <w:szCs w:val="24"/>
        </w:rPr>
        <w:t xml:space="preserve"> </w:t>
      </w:r>
      <w:r w:rsidR="00DB1112" w:rsidRPr="00C0388B">
        <w:rPr>
          <w:rFonts w:cs="Times New Roman"/>
          <w:i/>
          <w:sz w:val="24"/>
          <w:szCs w:val="24"/>
        </w:rPr>
        <w:t>Cum certum</w:t>
      </w:r>
      <w:r w:rsidR="00AE4822" w:rsidRPr="00C0388B">
        <w:rPr>
          <w:rFonts w:cs="Times New Roman"/>
          <w:sz w:val="24"/>
          <w:szCs w:val="24"/>
        </w:rPr>
        <w:t xml:space="preserve"> ... Sit </w:t>
      </w:r>
      <w:r w:rsidR="00AE4822" w:rsidRPr="00C0388B">
        <w:rPr>
          <w:rFonts w:cs="Times New Roman"/>
          <w:i/>
          <w:iCs/>
          <w:sz w:val="24"/>
          <w:szCs w:val="24"/>
        </w:rPr>
        <w:t>vero inter Londoniae et Eborace civitatis episcopos in posterum</w:t>
      </w:r>
      <w:r w:rsidR="00AE4822" w:rsidRPr="00C0388B">
        <w:rPr>
          <w:rFonts w:cs="Times New Roman"/>
          <w:sz w:val="24"/>
          <w:szCs w:val="24"/>
        </w:rPr>
        <w:t xml:space="preserve"> honoris ista distinctio, ut ipse</w:t>
      </w:r>
      <w:r w:rsidR="00123EC3" w:rsidRPr="00C0388B">
        <w:rPr>
          <w:rFonts w:cs="Times New Roman"/>
          <w:sz w:val="24"/>
          <w:szCs w:val="24"/>
        </w:rPr>
        <w:t xml:space="preserve"> prior et maior habeatur, qui prius communitatis consilio et concordi fuerit actione ordinatus....</w:t>
      </w:r>
    </w:p>
    <w:p w14:paraId="73F8353E" w14:textId="75D17FB1" w:rsidR="001F1140" w:rsidRPr="00C0388B" w:rsidRDefault="001F1140">
      <w:pPr>
        <w:pStyle w:val="EndnoteText"/>
        <w:rPr>
          <w:rFonts w:cs="Times New Roman"/>
          <w:sz w:val="24"/>
          <w:szCs w:val="24"/>
        </w:rPr>
      </w:pPr>
    </w:p>
  </w:endnote>
  <w:endnote w:id="16">
    <w:p w14:paraId="06FACFAB" w14:textId="4D4A909D" w:rsidR="001F1140" w:rsidRPr="00C0388B" w:rsidRDefault="001F1140">
      <w:pPr>
        <w:pStyle w:val="EndnoteText"/>
        <w:rPr>
          <w:rFonts w:cs="Times New Roman"/>
          <w:iCs/>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9" w:name="_Hlk7192639"/>
      <w:r w:rsidRPr="00C0388B">
        <w:rPr>
          <w:rFonts w:cs="Times New Roman"/>
          <w:sz w:val="24"/>
          <w:szCs w:val="24"/>
        </w:rPr>
        <w:t>Decretales, X.1.33.</w:t>
      </w:r>
      <w:r w:rsidR="00123EC3" w:rsidRPr="00C0388B">
        <w:rPr>
          <w:rFonts w:cs="Times New Roman"/>
          <w:sz w:val="24"/>
          <w:szCs w:val="24"/>
        </w:rPr>
        <w:t>3</w:t>
      </w:r>
      <w:r w:rsidRPr="00C0388B">
        <w:rPr>
          <w:rFonts w:cs="Times New Roman"/>
          <w:sz w:val="24"/>
          <w:szCs w:val="24"/>
        </w:rPr>
        <w:t xml:space="preserve"> </w:t>
      </w:r>
      <w:bookmarkEnd w:id="9"/>
      <w:r w:rsidR="00AE4822" w:rsidRPr="00C0388B">
        <w:rPr>
          <w:rFonts w:cs="Times New Roman"/>
          <w:i/>
          <w:sz w:val="24"/>
          <w:szCs w:val="24"/>
        </w:rPr>
        <w:t>Legebatur</w:t>
      </w:r>
      <w:r w:rsidR="00123EC3" w:rsidRPr="00C0388B">
        <w:rPr>
          <w:rFonts w:cs="Times New Roman"/>
          <w:i/>
          <w:sz w:val="24"/>
          <w:szCs w:val="24"/>
        </w:rPr>
        <w:t xml:space="preserve"> ... </w:t>
      </w:r>
      <w:r w:rsidR="00123EC3" w:rsidRPr="00C0388B">
        <w:rPr>
          <w:rFonts w:cs="Times New Roman"/>
          <w:iCs/>
          <w:sz w:val="24"/>
          <w:szCs w:val="24"/>
        </w:rPr>
        <w:t>in literis tuis ... quod frater Atticus....chartulam de obedientiae sponsione conscripserat, in qua signum prodebatur iniuriae. Non enim necessarium fuerat, ut obligaretur scripto qui obedientiam suam ipso voluntarii adventus officio comprobabat. ....</w:t>
      </w:r>
    </w:p>
    <w:p w14:paraId="1E77A89E" w14:textId="77777777" w:rsidR="001F1140" w:rsidRPr="00C0388B" w:rsidRDefault="001F1140">
      <w:pPr>
        <w:pStyle w:val="EndnoteText"/>
        <w:rPr>
          <w:rFonts w:cs="Times New Roman"/>
          <w:sz w:val="24"/>
          <w:szCs w:val="24"/>
        </w:rPr>
      </w:pPr>
    </w:p>
  </w:endnote>
  <w:endnote w:id="17">
    <w:p w14:paraId="6FFAA6C5" w14:textId="77777777" w:rsidR="001F1140" w:rsidRPr="00C0388B" w:rsidRDefault="001F1140" w:rsidP="001F1140">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bookmarkStart w:id="10" w:name="_Hlk7192755"/>
      <w:r w:rsidRPr="00C0388B">
        <w:rPr>
          <w:rFonts w:cs="Times New Roman"/>
          <w:i/>
          <w:sz w:val="24"/>
          <w:szCs w:val="24"/>
        </w:rPr>
        <w:t>Glossa Ordinaria</w:t>
      </w:r>
      <w:r w:rsidRPr="00C0388B">
        <w:rPr>
          <w:rFonts w:cs="Times New Roman"/>
          <w:sz w:val="24"/>
          <w:szCs w:val="24"/>
        </w:rPr>
        <w:t xml:space="preserve"> at X.1.33.3 </w:t>
      </w:r>
      <w:r w:rsidRPr="00C0388B">
        <w:rPr>
          <w:rFonts w:cs="Times New Roman"/>
          <w:i/>
          <w:sz w:val="24"/>
          <w:szCs w:val="24"/>
        </w:rPr>
        <w:t>Legebatur</w:t>
      </w:r>
      <w:bookmarkEnd w:id="10"/>
      <w:r w:rsidRPr="00C0388B">
        <w:rPr>
          <w:rFonts w:cs="Times New Roman"/>
          <w:sz w:val="24"/>
          <w:szCs w:val="24"/>
        </w:rPr>
        <w:t>: Potest textus iste intelligi dupliciter. Primo quod iste frater Atticus scripturam de obedientia prestanda episcopo nomine proprio scripsit. Secundo potest intelligi quod scripsit nomine alterius. Et non est vis quis intellectus teneatur. Senius enim litterae est, quod clericus non habens curam animarum, non tenetur promittere episcopo obedientiam per scripturae confectionem, vel per iuramenti praestationem; sed satis est verbo obdientiam promittere. Et hoc intendit littera iuncta gl. Abbas.</w:t>
      </w:r>
    </w:p>
    <w:p w14:paraId="7C29A24E" w14:textId="7DDCCBAC" w:rsidR="001F1140" w:rsidRPr="00C0388B" w:rsidRDefault="001F1140">
      <w:pPr>
        <w:pStyle w:val="EndnoteText"/>
        <w:rPr>
          <w:rFonts w:cs="Times New Roman"/>
          <w:sz w:val="24"/>
          <w:szCs w:val="24"/>
        </w:rPr>
      </w:pPr>
    </w:p>
  </w:endnote>
  <w:endnote w:id="18">
    <w:p w14:paraId="39DAD8BF" w14:textId="77777777" w:rsidR="001F1140" w:rsidRPr="00C0388B" w:rsidRDefault="001F1140" w:rsidP="001F1140">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r w:rsidRPr="00C0388B">
        <w:rPr>
          <w:rFonts w:cs="Times New Roman"/>
          <w:sz w:val="24"/>
          <w:szCs w:val="24"/>
        </w:rPr>
        <w:t xml:space="preserve">Decretum, Dist. 28, c. 13 </w:t>
      </w:r>
      <w:r w:rsidRPr="00C0388B">
        <w:rPr>
          <w:rFonts w:cs="Times New Roman"/>
          <w:i/>
          <w:sz w:val="24"/>
          <w:szCs w:val="24"/>
        </w:rPr>
        <w:t>De Siracusanae</w:t>
      </w:r>
      <w:r w:rsidRPr="00C0388B">
        <w:rPr>
          <w:rFonts w:cs="Times New Roman"/>
          <w:sz w:val="24"/>
          <w:szCs w:val="24"/>
        </w:rPr>
        <w:t xml:space="preserve"> …. Qua de re summo studio ab eodem Siracusanae urbis episcopo priusquam a nobis contingeret ordinari, huiusmodi exegimus cautionem, per quam et suam fateretur, quantula esset, presentis temporis habita rerum descriptione substantiam, et nichil umquam per se, aut per filios et uxorem, siue quamlibet propinquam aut domesticam uel</w:t>
      </w:r>
    </w:p>
    <w:p w14:paraId="1BB9FC78" w14:textId="77777777" w:rsidR="001F1140" w:rsidRPr="00C0388B" w:rsidRDefault="001F1140" w:rsidP="001F1140">
      <w:pPr>
        <w:pStyle w:val="EndnoteText"/>
        <w:rPr>
          <w:rFonts w:cs="Times New Roman"/>
          <w:sz w:val="24"/>
          <w:szCs w:val="24"/>
        </w:rPr>
      </w:pPr>
      <w:r w:rsidRPr="00C0388B">
        <w:rPr>
          <w:rFonts w:cs="Times New Roman"/>
          <w:sz w:val="24"/>
          <w:szCs w:val="24"/>
        </w:rPr>
        <w:t>extraneam forte personam de rebus audeat usurpare ecclesiae, et uniuersa sui episcopatus quesita tempore ecclesiae suae dominio sociaret, nichil ultra id, quod modo descriptum est, suis filiis uel heredibus relicturus.</w:t>
      </w:r>
    </w:p>
    <w:p w14:paraId="5AC566EF" w14:textId="49173C58" w:rsidR="001F1140" w:rsidRPr="00C0388B" w:rsidRDefault="001F1140">
      <w:pPr>
        <w:pStyle w:val="EndnoteText"/>
        <w:rPr>
          <w:rFonts w:cs="Times New Roman"/>
          <w:sz w:val="24"/>
          <w:szCs w:val="24"/>
        </w:rPr>
      </w:pPr>
    </w:p>
  </w:endnote>
  <w:endnote w:id="19">
    <w:p w14:paraId="3B368479" w14:textId="15FAFEF2" w:rsidR="001F1140" w:rsidRPr="00C0388B" w:rsidRDefault="001F1140" w:rsidP="001F1140">
      <w:pPr>
        <w:pStyle w:val="EndnoteText"/>
        <w:rPr>
          <w:rFonts w:cs="Times New Roman"/>
          <w:sz w:val="24"/>
          <w:szCs w:val="24"/>
        </w:rPr>
      </w:pPr>
      <w:r w:rsidRPr="00C0388B">
        <w:rPr>
          <w:rStyle w:val="EndnoteReference"/>
          <w:rFonts w:cs="Times New Roman"/>
          <w:sz w:val="24"/>
          <w:szCs w:val="24"/>
        </w:rPr>
        <w:endnoteRef/>
      </w:r>
      <w:r w:rsidRPr="00C0388B">
        <w:rPr>
          <w:rFonts w:cs="Times New Roman"/>
          <w:sz w:val="24"/>
          <w:szCs w:val="24"/>
        </w:rPr>
        <w:t xml:space="preserve"> </w:t>
      </w:r>
      <w:r w:rsidRPr="00C0388B">
        <w:rPr>
          <w:rFonts w:cs="Times New Roman"/>
          <w:sz w:val="24"/>
          <w:szCs w:val="24"/>
        </w:rPr>
        <w:t xml:space="preserve">Decretales, X.1.6.4 </w:t>
      </w:r>
      <w:r w:rsidRPr="00C0388B">
        <w:rPr>
          <w:rFonts w:cs="Times New Roman"/>
          <w:i/>
          <w:sz w:val="24"/>
          <w:szCs w:val="24"/>
        </w:rPr>
        <w:t>Significasti</w:t>
      </w:r>
      <w:r w:rsidR="00123EC3" w:rsidRPr="00C0388B">
        <w:rPr>
          <w:rFonts w:cs="Times New Roman"/>
          <w:i/>
          <w:sz w:val="24"/>
          <w:szCs w:val="24"/>
        </w:rPr>
        <w:t xml:space="preserve"> </w:t>
      </w:r>
      <w:r w:rsidRPr="00C0388B">
        <w:rPr>
          <w:rFonts w:cs="Times New Roman"/>
          <w:iCs/>
          <w:sz w:val="24"/>
          <w:szCs w:val="24"/>
        </w:rPr>
        <w:t>.</w:t>
      </w:r>
      <w:r w:rsidR="00123EC3" w:rsidRPr="00C0388B">
        <w:rPr>
          <w:rFonts w:cs="Times New Roman"/>
          <w:iCs/>
          <w:sz w:val="24"/>
          <w:szCs w:val="24"/>
        </w:rPr>
        <w:t>.. reges et regni maiores admiratione permotos, quod pallkium tibi ab apocrisariis nostris tali conditione oblatum fuerit, si sacramentum, quoa a nobis scriptum detulerant, exhiberes</w:t>
      </w:r>
      <w:proofErr w:type="gramStart"/>
      <w:r w:rsidR="00123EC3" w:rsidRPr="00C0388B">
        <w:rPr>
          <w:rFonts w:cs="Times New Roman"/>
          <w:iCs/>
          <w:sz w:val="24"/>
          <w:szCs w:val="24"/>
        </w:rPr>
        <w:t>.....</w:t>
      </w:r>
      <w:proofErr w:type="gramEnd"/>
    </w:p>
    <w:p w14:paraId="63D12FA1" w14:textId="3584EF33" w:rsidR="001F1140" w:rsidRPr="00C0388B" w:rsidRDefault="001F1140">
      <w:pPr>
        <w:pStyle w:val="EndnoteText"/>
        <w:rPr>
          <w:rFonts w:cs="Times New Roman"/>
          <w:sz w:val="24"/>
          <w:szCs w:val="24"/>
        </w:rPr>
      </w:pPr>
    </w:p>
  </w:endnote>
  <w:endnote w:id="20">
    <w:p w14:paraId="34FA31EF" w14:textId="114F65A7" w:rsidR="001F1140" w:rsidRPr="00C0388B" w:rsidRDefault="001F1140">
      <w:pPr>
        <w:pStyle w:val="EndnoteText"/>
        <w:rPr>
          <w:rFonts w:cs="Times New Roman"/>
          <w:iCs/>
          <w:sz w:val="24"/>
          <w:szCs w:val="24"/>
        </w:rPr>
      </w:pPr>
      <w:r w:rsidRPr="00C0388B">
        <w:rPr>
          <w:rStyle w:val="EndnoteReference"/>
          <w:rFonts w:cs="Times New Roman"/>
          <w:sz w:val="24"/>
          <w:szCs w:val="24"/>
        </w:rPr>
        <w:endnoteRef/>
      </w:r>
      <w:r w:rsidRPr="00C0388B">
        <w:rPr>
          <w:rFonts w:cs="Times New Roman"/>
          <w:sz w:val="24"/>
          <w:szCs w:val="24"/>
        </w:rPr>
        <w:t xml:space="preserve"> </w:t>
      </w:r>
      <w:r w:rsidRPr="00C0388B">
        <w:rPr>
          <w:rFonts w:cs="Times New Roman"/>
          <w:sz w:val="24"/>
          <w:szCs w:val="24"/>
        </w:rPr>
        <w:t xml:space="preserve">Decretum, Causa 24, quest. 2, c. 4, </w:t>
      </w:r>
      <w:r w:rsidRPr="00C0388B">
        <w:rPr>
          <w:rFonts w:cs="Times New Roman"/>
          <w:i/>
          <w:sz w:val="24"/>
          <w:szCs w:val="24"/>
        </w:rPr>
        <w:t>Nec quisquam</w:t>
      </w:r>
      <w:r w:rsidR="00123EC3" w:rsidRPr="00C0388B">
        <w:rPr>
          <w:rFonts w:cs="Times New Roman"/>
          <w:i/>
          <w:sz w:val="24"/>
          <w:szCs w:val="24"/>
        </w:rPr>
        <w:t xml:space="preserve"> </w:t>
      </w:r>
      <w:r w:rsidR="00123EC3" w:rsidRPr="00C0388B">
        <w:rPr>
          <w:rFonts w:cs="Times New Roman"/>
          <w:sz w:val="24"/>
          <w:szCs w:val="24"/>
        </w:rPr>
        <w:t>uobis omnino persuadeat, Achatio preuaricationis suæ crimen fuisse laxatum, quia qui post, quam in collegium recidens prauitatis iure meruit ab apostolica conmunione secludi, in hac eadem persistens dampnatione defunctus est, absolutionem, quam superstes non quesiuit omnino, nec meruit, mortuus iam non potest inpetrare.</w:t>
      </w:r>
      <w:r w:rsidR="00331512" w:rsidRPr="00C0388B">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D93A" w14:textId="77777777" w:rsidR="00AE39EE" w:rsidRDefault="00AE39EE" w:rsidP="00AE39EE">
      <w:pPr>
        <w:spacing w:after="0" w:line="240" w:lineRule="auto"/>
      </w:pPr>
      <w:r>
        <w:separator/>
      </w:r>
    </w:p>
  </w:footnote>
  <w:footnote w:type="continuationSeparator" w:id="0">
    <w:p w14:paraId="0BBB9E37" w14:textId="77777777" w:rsidR="00AE39EE" w:rsidRDefault="00AE39EE" w:rsidP="00AE39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4D"/>
    <w:rsid w:val="0001319A"/>
    <w:rsid w:val="00036756"/>
    <w:rsid w:val="000F011B"/>
    <w:rsid w:val="00123EC3"/>
    <w:rsid w:val="001763DB"/>
    <w:rsid w:val="001F1140"/>
    <w:rsid w:val="00213013"/>
    <w:rsid w:val="002413E7"/>
    <w:rsid w:val="002947B1"/>
    <w:rsid w:val="002F14F1"/>
    <w:rsid w:val="00331512"/>
    <w:rsid w:val="0034785C"/>
    <w:rsid w:val="004418C7"/>
    <w:rsid w:val="00472DEC"/>
    <w:rsid w:val="00587BF5"/>
    <w:rsid w:val="005B1161"/>
    <w:rsid w:val="005C0733"/>
    <w:rsid w:val="00664BE7"/>
    <w:rsid w:val="006D0BDC"/>
    <w:rsid w:val="007439D0"/>
    <w:rsid w:val="007A17B5"/>
    <w:rsid w:val="00807C4D"/>
    <w:rsid w:val="0081420B"/>
    <w:rsid w:val="00830F16"/>
    <w:rsid w:val="008325C3"/>
    <w:rsid w:val="00887BCF"/>
    <w:rsid w:val="008F13FD"/>
    <w:rsid w:val="009175AF"/>
    <w:rsid w:val="00967705"/>
    <w:rsid w:val="00973228"/>
    <w:rsid w:val="009755CF"/>
    <w:rsid w:val="009A3EAF"/>
    <w:rsid w:val="009A6BE1"/>
    <w:rsid w:val="009E21F5"/>
    <w:rsid w:val="009E29FF"/>
    <w:rsid w:val="00AE39EE"/>
    <w:rsid w:val="00AE4822"/>
    <w:rsid w:val="00B9284F"/>
    <w:rsid w:val="00BB4D58"/>
    <w:rsid w:val="00C0388B"/>
    <w:rsid w:val="00C73891"/>
    <w:rsid w:val="00CA1ECC"/>
    <w:rsid w:val="00CE2919"/>
    <w:rsid w:val="00CF7D35"/>
    <w:rsid w:val="00D27CB1"/>
    <w:rsid w:val="00D34DA2"/>
    <w:rsid w:val="00D95CAB"/>
    <w:rsid w:val="00DB1112"/>
    <w:rsid w:val="00E2667C"/>
    <w:rsid w:val="00E565A2"/>
    <w:rsid w:val="00E63D26"/>
    <w:rsid w:val="00F10343"/>
    <w:rsid w:val="00F40F3F"/>
    <w:rsid w:val="00F541F6"/>
    <w:rsid w:val="00F7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DFD3"/>
  <w15:chartTrackingRefBased/>
  <w15:docId w15:val="{17BEE83A-D594-403F-A5D1-02B32E77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D34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DA2"/>
    <w:rPr>
      <w:rFonts w:ascii="Segoe UI" w:hAnsi="Segoe UI" w:cs="Segoe UI"/>
      <w:sz w:val="18"/>
      <w:szCs w:val="18"/>
    </w:rPr>
  </w:style>
  <w:style w:type="paragraph" w:styleId="EndnoteText">
    <w:name w:val="endnote text"/>
    <w:basedOn w:val="Normal"/>
    <w:link w:val="EndnoteTextChar"/>
    <w:uiPriority w:val="99"/>
    <w:semiHidden/>
    <w:unhideWhenUsed/>
    <w:rsid w:val="00AE39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9EE"/>
    <w:rPr>
      <w:sz w:val="20"/>
      <w:szCs w:val="20"/>
    </w:rPr>
  </w:style>
  <w:style w:type="character" w:styleId="EndnoteReference">
    <w:name w:val="endnote reference"/>
    <w:basedOn w:val="DefaultParagraphFont"/>
    <w:uiPriority w:val="99"/>
    <w:semiHidden/>
    <w:unhideWhenUsed/>
    <w:rsid w:val="00AE39EE"/>
    <w:rPr>
      <w:vertAlign w:val="superscript"/>
    </w:rPr>
  </w:style>
  <w:style w:type="character" w:styleId="Hyperlink">
    <w:name w:val="Hyperlink"/>
    <w:basedOn w:val="DefaultParagraphFont"/>
    <w:uiPriority w:val="99"/>
    <w:semiHidden/>
    <w:unhideWhenUsed/>
    <w:rsid w:val="00AE3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5168">
      <w:bodyDiv w:val="1"/>
      <w:marLeft w:val="0"/>
      <w:marRight w:val="0"/>
      <w:marTop w:val="0"/>
      <w:marBottom w:val="0"/>
      <w:divBdr>
        <w:top w:val="none" w:sz="0" w:space="0" w:color="auto"/>
        <w:left w:val="none" w:sz="0" w:space="0" w:color="auto"/>
        <w:bottom w:val="none" w:sz="0" w:space="0" w:color="auto"/>
        <w:right w:val="none" w:sz="0" w:space="0" w:color="auto"/>
      </w:divBdr>
    </w:div>
    <w:div w:id="352733977">
      <w:bodyDiv w:val="1"/>
      <w:marLeft w:val="0"/>
      <w:marRight w:val="0"/>
      <w:marTop w:val="0"/>
      <w:marBottom w:val="0"/>
      <w:divBdr>
        <w:top w:val="none" w:sz="0" w:space="0" w:color="auto"/>
        <w:left w:val="none" w:sz="0" w:space="0" w:color="auto"/>
        <w:bottom w:val="none" w:sz="0" w:space="0" w:color="auto"/>
        <w:right w:val="none" w:sz="0" w:space="0" w:color="auto"/>
      </w:divBdr>
    </w:div>
    <w:div w:id="508911811">
      <w:bodyDiv w:val="1"/>
      <w:marLeft w:val="0"/>
      <w:marRight w:val="0"/>
      <w:marTop w:val="0"/>
      <w:marBottom w:val="0"/>
      <w:divBdr>
        <w:top w:val="none" w:sz="0" w:space="0" w:color="auto"/>
        <w:left w:val="none" w:sz="0" w:space="0" w:color="auto"/>
        <w:bottom w:val="none" w:sz="0" w:space="0" w:color="auto"/>
        <w:right w:val="none" w:sz="0" w:space="0" w:color="auto"/>
      </w:divBdr>
    </w:div>
    <w:div w:id="513036323">
      <w:bodyDiv w:val="1"/>
      <w:marLeft w:val="0"/>
      <w:marRight w:val="0"/>
      <w:marTop w:val="0"/>
      <w:marBottom w:val="0"/>
      <w:divBdr>
        <w:top w:val="none" w:sz="0" w:space="0" w:color="auto"/>
        <w:left w:val="none" w:sz="0" w:space="0" w:color="auto"/>
        <w:bottom w:val="none" w:sz="0" w:space="0" w:color="auto"/>
        <w:right w:val="none" w:sz="0" w:space="0" w:color="auto"/>
      </w:divBdr>
    </w:div>
    <w:div w:id="666179552">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1052851231">
      <w:bodyDiv w:val="1"/>
      <w:marLeft w:val="0"/>
      <w:marRight w:val="0"/>
      <w:marTop w:val="0"/>
      <w:marBottom w:val="0"/>
      <w:divBdr>
        <w:top w:val="none" w:sz="0" w:space="0" w:color="auto"/>
        <w:left w:val="none" w:sz="0" w:space="0" w:color="auto"/>
        <w:bottom w:val="none" w:sz="0" w:space="0" w:color="auto"/>
        <w:right w:val="none" w:sz="0" w:space="0" w:color="auto"/>
      </w:divBdr>
    </w:div>
    <w:div w:id="1446390881">
      <w:bodyDiv w:val="1"/>
      <w:marLeft w:val="0"/>
      <w:marRight w:val="0"/>
      <w:marTop w:val="0"/>
      <w:marBottom w:val="0"/>
      <w:divBdr>
        <w:top w:val="none" w:sz="0" w:space="0" w:color="auto"/>
        <w:left w:val="none" w:sz="0" w:space="0" w:color="auto"/>
        <w:bottom w:val="none" w:sz="0" w:space="0" w:color="auto"/>
        <w:right w:val="none" w:sz="0" w:space="0" w:color="auto"/>
      </w:divBdr>
    </w:div>
    <w:div w:id="1572502644">
      <w:bodyDiv w:val="1"/>
      <w:marLeft w:val="0"/>
      <w:marRight w:val="0"/>
      <w:marTop w:val="0"/>
      <w:marBottom w:val="0"/>
      <w:divBdr>
        <w:top w:val="none" w:sz="0" w:space="0" w:color="auto"/>
        <w:left w:val="none" w:sz="0" w:space="0" w:color="auto"/>
        <w:bottom w:val="none" w:sz="0" w:space="0" w:color="auto"/>
        <w:right w:val="none" w:sz="0" w:space="0" w:color="auto"/>
      </w:divBdr>
    </w:div>
    <w:div w:id="1658143913">
      <w:bodyDiv w:val="1"/>
      <w:marLeft w:val="0"/>
      <w:marRight w:val="0"/>
      <w:marTop w:val="0"/>
      <w:marBottom w:val="0"/>
      <w:divBdr>
        <w:top w:val="none" w:sz="0" w:space="0" w:color="auto"/>
        <w:left w:val="none" w:sz="0" w:space="0" w:color="auto"/>
        <w:bottom w:val="none" w:sz="0" w:space="0" w:color="auto"/>
        <w:right w:val="none" w:sz="0" w:space="0" w:color="auto"/>
      </w:divBdr>
    </w:div>
    <w:div w:id="1777561295">
      <w:bodyDiv w:val="1"/>
      <w:marLeft w:val="0"/>
      <w:marRight w:val="0"/>
      <w:marTop w:val="0"/>
      <w:marBottom w:val="0"/>
      <w:divBdr>
        <w:top w:val="none" w:sz="0" w:space="0" w:color="auto"/>
        <w:left w:val="none" w:sz="0" w:space="0" w:color="auto"/>
        <w:bottom w:val="none" w:sz="0" w:space="0" w:color="auto"/>
        <w:right w:val="none" w:sz="0" w:space="0" w:color="auto"/>
      </w:divBdr>
    </w:div>
    <w:div w:id="1856263151">
      <w:bodyDiv w:val="1"/>
      <w:marLeft w:val="0"/>
      <w:marRight w:val="0"/>
      <w:marTop w:val="0"/>
      <w:marBottom w:val="0"/>
      <w:divBdr>
        <w:top w:val="none" w:sz="0" w:space="0" w:color="auto"/>
        <w:left w:val="none" w:sz="0" w:space="0" w:color="auto"/>
        <w:bottom w:val="none" w:sz="0" w:space="0" w:color="auto"/>
        <w:right w:val="none" w:sz="0" w:space="0" w:color="auto"/>
      </w:divBdr>
    </w:div>
    <w:div w:id="1889535336">
      <w:bodyDiv w:val="1"/>
      <w:marLeft w:val="0"/>
      <w:marRight w:val="0"/>
      <w:marTop w:val="0"/>
      <w:marBottom w:val="0"/>
      <w:divBdr>
        <w:top w:val="none" w:sz="0" w:space="0" w:color="auto"/>
        <w:left w:val="none" w:sz="0" w:space="0" w:color="auto"/>
        <w:bottom w:val="none" w:sz="0" w:space="0" w:color="auto"/>
        <w:right w:val="none" w:sz="0" w:space="0" w:color="auto"/>
      </w:divBdr>
    </w:div>
    <w:div w:id="1895891218">
      <w:bodyDiv w:val="1"/>
      <w:marLeft w:val="0"/>
      <w:marRight w:val="0"/>
      <w:marTop w:val="0"/>
      <w:marBottom w:val="0"/>
      <w:divBdr>
        <w:top w:val="none" w:sz="0" w:space="0" w:color="auto"/>
        <w:left w:val="none" w:sz="0" w:space="0" w:color="auto"/>
        <w:bottom w:val="none" w:sz="0" w:space="0" w:color="auto"/>
        <w:right w:val="none" w:sz="0" w:space="0" w:color="auto"/>
      </w:divBdr>
    </w:div>
    <w:div w:id="20602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cathinfo.com/crisis-in-the-church/res-sacramenti-what-is-it-why-does-it-matter/" TargetMode="External"/><Relationship Id="rId1" Type="http://schemas.openxmlformats.org/officeDocument/2006/relationships/hyperlink" Target="http://gloss-e.irht.cnrs.fr/php/editions_chapitre.php?livre=../sources/editions/GLOSS-liber04.xml&amp;chapitre=04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946A568-41AD-4319-8354-25EFDF22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2019-04-27T21:07:00Z</cp:lastPrinted>
  <dcterms:created xsi:type="dcterms:W3CDTF">2020-12-07T20:29:00Z</dcterms:created>
  <dcterms:modified xsi:type="dcterms:W3CDTF">2020-12-09T22:55:00Z</dcterms:modified>
</cp:coreProperties>
</file>