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AA09" w14:textId="77777777" w:rsidR="00B9284F" w:rsidRPr="00396E67" w:rsidRDefault="000868E4" w:rsidP="000868E4">
      <w:pPr>
        <w:spacing w:line="480" w:lineRule="auto"/>
        <w:rPr>
          <w:rFonts w:cs="Times New Roman"/>
        </w:rPr>
      </w:pPr>
      <w:r w:rsidRPr="00396E67">
        <w:rPr>
          <w:rFonts w:cs="Times New Roman"/>
        </w:rPr>
        <w:t>286 To Perish, Peril (</w:t>
      </w:r>
      <w:r w:rsidRPr="00396E67">
        <w:rPr>
          <w:rFonts w:cs="Times New Roman"/>
          <w:i/>
        </w:rPr>
        <w:t>Perire, Periculum</w:t>
      </w:r>
      <w:r w:rsidRPr="00396E67">
        <w:rPr>
          <w:rFonts w:cs="Times New Roman"/>
        </w:rPr>
        <w:t>)</w:t>
      </w:r>
    </w:p>
    <w:p w14:paraId="3751DEC8" w14:textId="510ABB80" w:rsidR="000868E4" w:rsidRPr="00396E67" w:rsidRDefault="000868E4" w:rsidP="000868E4">
      <w:pPr>
        <w:spacing w:line="480" w:lineRule="auto"/>
        <w:rPr>
          <w:rFonts w:cs="Times New Roman"/>
        </w:rPr>
      </w:pPr>
      <w:r w:rsidRPr="00396E67">
        <w:rPr>
          <w:rFonts w:cs="Times New Roman"/>
        </w:rPr>
        <w:t>The chick abandoning its parent either falls into the thorns or in the briars, or it is captured by the kite</w:t>
      </w:r>
      <w:r w:rsidR="001C7784" w:rsidRPr="00396E67">
        <w:rPr>
          <w:rStyle w:val="EndnoteReference"/>
          <w:rFonts w:cs="Times New Roman"/>
        </w:rPr>
        <w:endnoteReference w:id="1"/>
      </w:r>
      <w:r w:rsidRPr="00396E67">
        <w:rPr>
          <w:rFonts w:cs="Times New Roman"/>
        </w:rPr>
        <w:t xml:space="preserve"> and thus it perishes. </w:t>
      </w:r>
      <w:r w:rsidR="00CD7686" w:rsidRPr="00396E67">
        <w:rPr>
          <w:rFonts w:cs="Times New Roman"/>
        </w:rPr>
        <w:t>So,</w:t>
      </w:r>
      <w:r w:rsidRPr="00396E67">
        <w:rPr>
          <w:rFonts w:cs="Times New Roman"/>
        </w:rPr>
        <w:t xml:space="preserve"> we who in this present life as if chicks under the wings of the parents, abandoning God either we fall into the thorns of avarice or in the briars of lust, or they are captured by the demon, Jer. 17[:13]: “O Lord, all that forsake thee shall be confounded.” And Job 4[:7-9] it is said, “Remember, I pray thee, </w:t>
      </w:r>
      <w:r w:rsidR="00CD7686" w:rsidRPr="00396E67">
        <w:rPr>
          <w:rFonts w:cs="Times New Roman"/>
        </w:rPr>
        <w:t>whoever</w:t>
      </w:r>
      <w:r w:rsidRPr="00396E67">
        <w:rPr>
          <w:rFonts w:cs="Times New Roman"/>
        </w:rPr>
        <w:t xml:space="preserve"> perished being innocent?” and it follows, </w:t>
      </w:r>
      <w:r w:rsidR="00326931" w:rsidRPr="00396E67">
        <w:rPr>
          <w:rFonts w:cs="Times New Roman"/>
        </w:rPr>
        <w:t>“</w:t>
      </w:r>
      <w:r w:rsidRPr="00396E67">
        <w:rPr>
          <w:rFonts w:cs="Times New Roman"/>
        </w:rPr>
        <w:t xml:space="preserve">On the contrary I have seen those who </w:t>
      </w:r>
      <w:r w:rsidR="00326931" w:rsidRPr="00396E67">
        <w:rPr>
          <w:rFonts w:cs="Times New Roman"/>
        </w:rPr>
        <w:t>work iniquity, and sow sorrows … p</w:t>
      </w:r>
      <w:r w:rsidRPr="00396E67">
        <w:rPr>
          <w:rFonts w:cs="Times New Roman"/>
        </w:rPr>
        <w:t>erishing by the blast of God.</w:t>
      </w:r>
      <w:r w:rsidR="00326931" w:rsidRPr="00396E67">
        <w:rPr>
          <w:rFonts w:cs="Times New Roman"/>
        </w:rPr>
        <w:t xml:space="preserve">” From which it is </w:t>
      </w:r>
      <w:r w:rsidR="00CD7686" w:rsidRPr="00396E67">
        <w:rPr>
          <w:rFonts w:cs="Times New Roman"/>
        </w:rPr>
        <w:t>evident</w:t>
      </w:r>
      <w:r w:rsidR="00326931" w:rsidRPr="00396E67">
        <w:rPr>
          <w:rFonts w:cs="Times New Roman"/>
        </w:rPr>
        <w:t xml:space="preserve"> that man does not perish unless </w:t>
      </w:r>
      <w:r w:rsidR="00CD7686" w:rsidRPr="00396E67">
        <w:rPr>
          <w:rFonts w:cs="Times New Roman"/>
        </w:rPr>
        <w:t>because of</w:t>
      </w:r>
      <w:r w:rsidR="00326931" w:rsidRPr="00396E67">
        <w:rPr>
          <w:rFonts w:cs="Times New Roman"/>
        </w:rPr>
        <w:t xml:space="preserve"> iniquity. For Lot fell into the danger of drunkenness and incest. Unless he disbelieved the </w:t>
      </w:r>
      <w:r w:rsidR="00CD7686" w:rsidRPr="00396E67">
        <w:rPr>
          <w:rFonts w:cs="Times New Roman"/>
        </w:rPr>
        <w:t>angel,</w:t>
      </w:r>
      <w:r w:rsidR="00326931" w:rsidRPr="00396E67">
        <w:rPr>
          <w:rFonts w:cs="Times New Roman"/>
        </w:rPr>
        <w:t xml:space="preserve"> who moved him on the mountain to be saved, Gen. 19[:30]. It is said however in Eccli. 43[:26]: “Let them that sail on the sea, tell the dangers thereof.”</w:t>
      </w:r>
    </w:p>
    <w:p w14:paraId="5ADC6B62" w14:textId="77777777" w:rsidR="00326931" w:rsidRPr="00396E67" w:rsidRDefault="00326931" w:rsidP="000868E4">
      <w:pPr>
        <w:spacing w:line="480" w:lineRule="auto"/>
        <w:rPr>
          <w:rFonts w:cs="Times New Roman"/>
        </w:rPr>
      </w:pPr>
      <w:r w:rsidRPr="00396E67">
        <w:rPr>
          <w:rFonts w:cs="Times New Roman"/>
        </w:rPr>
        <w:t>¶ Of which the first danger is if the ship is too much loaded, so it is concerning the rich of this world.</w:t>
      </w:r>
    </w:p>
    <w:p w14:paraId="55106871" w14:textId="50BC82FA" w:rsidR="008A3489" w:rsidRPr="00396E67" w:rsidRDefault="00BF689E" w:rsidP="001050A1">
      <w:pPr>
        <w:spacing w:line="480" w:lineRule="auto"/>
        <w:rPr>
          <w:rFonts w:cs="Times New Roman"/>
        </w:rPr>
      </w:pPr>
      <w:r w:rsidRPr="00396E67">
        <w:rPr>
          <w:rFonts w:cs="Times New Roman"/>
        </w:rPr>
        <w:t>¶ Concerning this danger it seems to be said in Eccle. 5[:12]: “There is also another grievous evil, which I have seen under the sun: riches kept to the hurt of the owner.” For the worst perish in aff</w:t>
      </w:r>
      <w:r w:rsidR="00CD7686" w:rsidRPr="00396E67">
        <w:rPr>
          <w:rFonts w:cs="Times New Roman"/>
        </w:rPr>
        <w:t>l</w:t>
      </w:r>
      <w:r w:rsidRPr="00396E67">
        <w:rPr>
          <w:rFonts w:cs="Times New Roman"/>
        </w:rPr>
        <w:t xml:space="preserve">iction. </w:t>
      </w:r>
      <w:r w:rsidR="00CD7686" w:rsidRPr="00396E67">
        <w:rPr>
          <w:rFonts w:cs="Times New Roman"/>
        </w:rPr>
        <w:t>Therefore,</w:t>
      </w:r>
      <w:r w:rsidRPr="00396E67">
        <w:rPr>
          <w:rFonts w:cs="Times New Roman"/>
        </w:rPr>
        <w:t xml:space="preserve"> in all dangers man ought as much as he can within reaso</w:t>
      </w:r>
      <w:r w:rsidR="00C62E06" w:rsidRPr="00396E67">
        <w:rPr>
          <w:rFonts w:cs="Times New Roman"/>
        </w:rPr>
        <w:t>n help and commit the rest to</w:t>
      </w:r>
      <w:r w:rsidRPr="00396E67">
        <w:rPr>
          <w:rFonts w:cs="Times New Roman"/>
        </w:rPr>
        <w:t xml:space="preserve"> God. </w:t>
      </w:r>
      <w:r w:rsidR="00C62E06" w:rsidRPr="00396E67">
        <w:rPr>
          <w:rFonts w:cs="Times New Roman"/>
        </w:rPr>
        <w:t xml:space="preserve">Wherefore Augustine says in book 16, </w:t>
      </w:r>
      <w:r w:rsidR="00C62E06" w:rsidRPr="00396E67">
        <w:rPr>
          <w:rFonts w:cs="Times New Roman"/>
          <w:i/>
        </w:rPr>
        <w:t>De civitate</w:t>
      </w:r>
      <w:r w:rsidR="00C62E06" w:rsidRPr="00396E67">
        <w:rPr>
          <w:rFonts w:cs="Times New Roman"/>
        </w:rPr>
        <w:t xml:space="preserve">, chapter </w:t>
      </w:r>
      <w:r w:rsidR="00CD7686" w:rsidRPr="00396E67">
        <w:rPr>
          <w:rFonts w:cs="Times New Roman"/>
        </w:rPr>
        <w:t>19,</w:t>
      </w:r>
      <w:r w:rsidR="001C7784" w:rsidRPr="00396E67">
        <w:rPr>
          <w:rStyle w:val="EndnoteReference"/>
          <w:rFonts w:cs="Times New Roman"/>
        </w:rPr>
        <w:endnoteReference w:id="2"/>
      </w:r>
      <w:r w:rsidR="00CD7686" w:rsidRPr="00396E67">
        <w:rPr>
          <w:rFonts w:cs="Times New Roman"/>
        </w:rPr>
        <w:t xml:space="preserve"> if</w:t>
      </w:r>
      <w:r w:rsidR="00C62E06" w:rsidRPr="00396E67">
        <w:rPr>
          <w:rFonts w:cs="Times New Roman"/>
        </w:rPr>
        <w:t xml:space="preserve"> a man does not beware of danger as much as he is able, he tempts God more than</w:t>
      </w:r>
      <w:r w:rsidR="000758D9" w:rsidRPr="00396E67">
        <w:rPr>
          <w:rFonts w:cs="Times New Roman"/>
        </w:rPr>
        <w:t xml:space="preserve"> he</w:t>
      </w:r>
      <w:r w:rsidR="00C62E06" w:rsidRPr="00396E67">
        <w:rPr>
          <w:rFonts w:cs="Times New Roman"/>
        </w:rPr>
        <w:t xml:space="preserve"> hopes in him. Wherefore Abraham is excused who in danger of death said his wife was his sister. </w:t>
      </w:r>
      <w:r w:rsidR="004B7ECA" w:rsidRPr="00396E67">
        <w:rPr>
          <w:rFonts w:cs="Times New Roman"/>
        </w:rPr>
        <w:t>For Augustine says</w:t>
      </w:r>
      <w:r w:rsidR="001C7784" w:rsidRPr="00396E67">
        <w:rPr>
          <w:rFonts w:cs="Times New Roman"/>
        </w:rPr>
        <w:t>,</w:t>
      </w:r>
      <w:r w:rsidR="001C7784" w:rsidRPr="00396E67">
        <w:rPr>
          <w:rStyle w:val="EndnoteReference"/>
          <w:rFonts w:cs="Times New Roman"/>
        </w:rPr>
        <w:endnoteReference w:id="3"/>
      </w:r>
      <w:r w:rsidR="004B7ECA" w:rsidRPr="00396E67">
        <w:rPr>
          <w:rFonts w:cs="Times New Roman"/>
        </w:rPr>
        <w:t xml:space="preserve"> too headlong is he who contends to cross over where he sees another to perish.</w:t>
      </w:r>
      <w:r w:rsidR="00C52DF8" w:rsidRPr="00396E67">
        <w:rPr>
          <w:rFonts w:cs="Times New Roman"/>
        </w:rPr>
        <w:t xml:space="preserve"> Wherefore Chrysostom, </w:t>
      </w:r>
      <w:r w:rsidR="00C52DF8" w:rsidRPr="00396E67">
        <w:rPr>
          <w:rFonts w:cs="Times New Roman"/>
          <w:i/>
        </w:rPr>
        <w:t>Homilia</w:t>
      </w:r>
      <w:r w:rsidR="00C52DF8" w:rsidRPr="00396E67">
        <w:rPr>
          <w:rFonts w:cs="Times New Roman"/>
        </w:rPr>
        <w:t xml:space="preserve"> 27,</w:t>
      </w:r>
      <w:r w:rsidR="001C7784" w:rsidRPr="00396E67">
        <w:rPr>
          <w:rStyle w:val="EndnoteReference"/>
          <w:rFonts w:cs="Times New Roman"/>
        </w:rPr>
        <w:endnoteReference w:id="4"/>
      </w:r>
      <w:r w:rsidR="00C52DF8" w:rsidRPr="00396E67">
        <w:rPr>
          <w:rFonts w:cs="Times New Roman"/>
        </w:rPr>
        <w:t xml:space="preserve"> </w:t>
      </w:r>
      <w:r w:rsidR="008A3489" w:rsidRPr="00396E67">
        <w:rPr>
          <w:rFonts w:cs="Times New Roman"/>
        </w:rPr>
        <w:t xml:space="preserve">the ruin of those going before ought to be an admonition to the following. </w:t>
      </w:r>
      <w:r w:rsidR="00CD7686" w:rsidRPr="00396E67">
        <w:rPr>
          <w:rFonts w:cs="Times New Roman"/>
        </w:rPr>
        <w:t>If,</w:t>
      </w:r>
      <w:r w:rsidR="008A3489" w:rsidRPr="00396E67">
        <w:rPr>
          <w:rFonts w:cs="Times New Roman"/>
        </w:rPr>
        <w:t xml:space="preserve"> </w:t>
      </w:r>
      <w:r w:rsidR="001050A1" w:rsidRPr="00396E67">
        <w:rPr>
          <w:rFonts w:cs="Times New Roman"/>
        </w:rPr>
        <w:t xml:space="preserve">however we the following do not fall, where those praying together have fallen, </w:t>
      </w:r>
      <w:r w:rsidR="001050A1" w:rsidRPr="00396E67">
        <w:rPr>
          <w:rFonts w:cs="Times New Roman"/>
        </w:rPr>
        <w:lastRenderedPageBreak/>
        <w:t xml:space="preserve">the first will find more forgiveness than we the second. And Jerome, </w:t>
      </w:r>
      <w:r w:rsidR="001050A1" w:rsidRPr="00396E67">
        <w:rPr>
          <w:rFonts w:cs="Times New Roman"/>
          <w:i/>
        </w:rPr>
        <w:t>Epist</w:t>
      </w:r>
      <w:r w:rsidR="00CD7686" w:rsidRPr="00396E67">
        <w:rPr>
          <w:rFonts w:cs="Times New Roman"/>
          <w:i/>
        </w:rPr>
        <w:t>o</w:t>
      </w:r>
      <w:r w:rsidR="001050A1" w:rsidRPr="00396E67">
        <w:rPr>
          <w:rFonts w:cs="Times New Roman"/>
          <w:i/>
        </w:rPr>
        <w:t>la</w:t>
      </w:r>
      <w:r w:rsidR="001050A1" w:rsidRPr="00396E67">
        <w:rPr>
          <w:rFonts w:cs="Times New Roman"/>
        </w:rPr>
        <w:t xml:space="preserve"> 91,</w:t>
      </w:r>
      <w:r w:rsidR="001C7784" w:rsidRPr="00396E67">
        <w:rPr>
          <w:rStyle w:val="EndnoteReference"/>
          <w:rFonts w:cs="Times New Roman"/>
        </w:rPr>
        <w:endnoteReference w:id="5"/>
      </w:r>
      <w:r w:rsidR="001050A1" w:rsidRPr="00396E67">
        <w:rPr>
          <w:rFonts w:cs="Times New Roman"/>
        </w:rPr>
        <w:t xml:space="preserve"> he is more secure who cann</w:t>
      </w:r>
      <w:r w:rsidR="00A73301" w:rsidRPr="00396E67">
        <w:rPr>
          <w:rFonts w:cs="Times New Roman"/>
        </w:rPr>
        <w:t>ot perish, than he who has not perished near danger.</w:t>
      </w:r>
      <w:bookmarkStart w:id="2" w:name="_GoBack"/>
      <w:bookmarkEnd w:id="2"/>
    </w:p>
    <w:sectPr w:rsidR="008A3489" w:rsidRPr="00396E6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9461" w14:textId="77777777" w:rsidR="001C7784" w:rsidRDefault="001C7784" w:rsidP="001C7784">
      <w:pPr>
        <w:spacing w:after="0" w:line="240" w:lineRule="auto"/>
      </w:pPr>
      <w:r>
        <w:separator/>
      </w:r>
    </w:p>
  </w:endnote>
  <w:endnote w:type="continuationSeparator" w:id="0">
    <w:p w14:paraId="42E48B86" w14:textId="77777777" w:rsidR="001C7784" w:rsidRDefault="001C7784" w:rsidP="001C7784">
      <w:pPr>
        <w:spacing w:after="0" w:line="240" w:lineRule="auto"/>
      </w:pPr>
      <w:r>
        <w:continuationSeparator/>
      </w:r>
    </w:p>
  </w:endnote>
  <w:endnote w:id="1">
    <w:p w14:paraId="78BD9BCD" w14:textId="77777777" w:rsidR="001C7784" w:rsidRPr="001C7784" w:rsidRDefault="001C7784" w:rsidP="001C7784">
      <w:pPr>
        <w:pStyle w:val="EndnoteText"/>
        <w:rPr>
          <w:rFonts w:cs="Times New Roman"/>
          <w:sz w:val="24"/>
          <w:szCs w:val="24"/>
        </w:rPr>
      </w:pPr>
      <w:r w:rsidRPr="001C7784">
        <w:rPr>
          <w:rStyle w:val="EndnoteReference"/>
          <w:rFonts w:cs="Times New Roman"/>
          <w:sz w:val="24"/>
          <w:szCs w:val="24"/>
        </w:rPr>
        <w:endnoteRef/>
      </w:r>
      <w:r w:rsidRPr="001C7784">
        <w:rPr>
          <w:rFonts w:cs="Times New Roman"/>
          <w:sz w:val="24"/>
          <w:szCs w:val="24"/>
        </w:rPr>
        <w:t xml:space="preserve"> </w:t>
      </w:r>
      <w:r w:rsidRPr="001C7784">
        <w:rPr>
          <w:rFonts w:cs="Times New Roman"/>
          <w:sz w:val="24"/>
          <w:szCs w:val="24"/>
        </w:rPr>
        <w:t xml:space="preserve">Cf. Isidore, </w:t>
      </w:r>
      <w:r w:rsidRPr="001C7784">
        <w:rPr>
          <w:rFonts w:cs="Times New Roman"/>
          <w:i/>
          <w:sz w:val="24"/>
          <w:szCs w:val="24"/>
        </w:rPr>
        <w:t>Etymologiae</w:t>
      </w:r>
      <w:r w:rsidRPr="001C7784">
        <w:rPr>
          <w:rFonts w:cs="Times New Roman"/>
          <w:sz w:val="24"/>
          <w:szCs w:val="24"/>
        </w:rPr>
        <w:t xml:space="preserve"> 12.7.58 (PL 82:467): Milvus, mollis viribus et volatu, quasi mollis avis, unde et nuncupatur, rapacissimus tamen, et semper domesticis avibus insidiatur.</w:t>
      </w:r>
    </w:p>
    <w:p w14:paraId="1D0EED74" w14:textId="77777777" w:rsidR="001C7784" w:rsidRPr="001C7784" w:rsidRDefault="001C7784" w:rsidP="001C7784">
      <w:pPr>
        <w:pStyle w:val="EndnoteText"/>
        <w:rPr>
          <w:rFonts w:cs="Times New Roman"/>
          <w:sz w:val="24"/>
          <w:szCs w:val="24"/>
        </w:rPr>
      </w:pPr>
    </w:p>
    <w:p w14:paraId="60B836DB" w14:textId="77777777" w:rsidR="001C7784" w:rsidRPr="001C7784" w:rsidRDefault="001C7784" w:rsidP="001C7784">
      <w:pPr>
        <w:pStyle w:val="EndnoteText"/>
        <w:rPr>
          <w:rFonts w:cs="Times New Roman"/>
          <w:sz w:val="24"/>
          <w:szCs w:val="24"/>
        </w:rPr>
      </w:pPr>
      <w:r w:rsidRPr="001C7784">
        <w:rPr>
          <w:rFonts w:cs="Times New Roman"/>
          <w:sz w:val="24"/>
          <w:szCs w:val="24"/>
        </w:rPr>
        <w:t>The kite (milvus) is soft in flight and strength, but it is a rapacious bird that is always hostile toward domestic birds.</w:t>
      </w:r>
    </w:p>
    <w:p w14:paraId="23C80A5F" w14:textId="161D66D9" w:rsidR="001C7784" w:rsidRPr="001C7784" w:rsidRDefault="001C7784">
      <w:pPr>
        <w:pStyle w:val="EndnoteText"/>
        <w:rPr>
          <w:rFonts w:cs="Times New Roman"/>
          <w:sz w:val="24"/>
          <w:szCs w:val="24"/>
        </w:rPr>
      </w:pPr>
    </w:p>
  </w:endnote>
  <w:endnote w:id="2">
    <w:p w14:paraId="4AE3CBC7" w14:textId="77777777" w:rsidR="001C7784" w:rsidRPr="001C7784" w:rsidRDefault="001C7784" w:rsidP="001C7784">
      <w:pPr>
        <w:pStyle w:val="EndnoteText"/>
        <w:rPr>
          <w:rFonts w:cs="Times New Roman"/>
          <w:sz w:val="24"/>
          <w:szCs w:val="24"/>
        </w:rPr>
      </w:pPr>
      <w:r w:rsidRPr="001C7784">
        <w:rPr>
          <w:rStyle w:val="EndnoteReference"/>
          <w:rFonts w:cs="Times New Roman"/>
          <w:sz w:val="24"/>
          <w:szCs w:val="24"/>
        </w:rPr>
        <w:endnoteRef/>
      </w:r>
      <w:r w:rsidRPr="001C7784">
        <w:rPr>
          <w:rFonts w:cs="Times New Roman"/>
          <w:sz w:val="24"/>
          <w:szCs w:val="24"/>
        </w:rPr>
        <w:t xml:space="preserve"> </w:t>
      </w:r>
      <w:r w:rsidRPr="001C7784">
        <w:rPr>
          <w:rFonts w:cs="Times New Roman"/>
          <w:sz w:val="24"/>
          <w:szCs w:val="24"/>
        </w:rPr>
        <w:t xml:space="preserve">Augustine, </w:t>
      </w:r>
      <w:r w:rsidRPr="001C7784">
        <w:rPr>
          <w:rFonts w:cs="Times New Roman"/>
          <w:i/>
          <w:sz w:val="24"/>
          <w:szCs w:val="24"/>
        </w:rPr>
        <w:t>De civitate Dei</w:t>
      </w:r>
      <w:r w:rsidRPr="001C7784">
        <w:rPr>
          <w:rFonts w:cs="Times New Roman"/>
          <w:sz w:val="24"/>
          <w:szCs w:val="24"/>
        </w:rPr>
        <w:t xml:space="preserve"> 16.19. (PL 41:498): Ubi uxorem suam dixit sororem (Gen. XII, 7-19), nihil mentitus. Erat enim et hoc, quia propinqua erat sanguine: sicut etiam Lot eadem propinquitate, cum fratris ejus esset filius, frater ejus est dictus. Itaque uxorem tacuit, non negavit, conjugis tuendam pudicitiam committens Deo, et humanas insidias cavens ut homo: quoniam si periculum quantum caveri poterat, non caveret, magis tentaret Deum, quam speraret in Deum.</w:t>
      </w:r>
    </w:p>
    <w:p w14:paraId="486852F4" w14:textId="200D7660" w:rsidR="001C7784" w:rsidRPr="001C7784" w:rsidRDefault="001C7784">
      <w:pPr>
        <w:pStyle w:val="EndnoteText"/>
        <w:rPr>
          <w:rFonts w:cs="Times New Roman"/>
          <w:sz w:val="24"/>
          <w:szCs w:val="24"/>
        </w:rPr>
      </w:pPr>
    </w:p>
  </w:endnote>
  <w:endnote w:id="3">
    <w:p w14:paraId="1300B5BD" w14:textId="6446D169" w:rsidR="001C7784" w:rsidRPr="001C7784" w:rsidRDefault="001C7784">
      <w:pPr>
        <w:pStyle w:val="EndnoteText"/>
        <w:rPr>
          <w:rFonts w:cs="Times New Roman"/>
          <w:sz w:val="24"/>
          <w:szCs w:val="24"/>
        </w:rPr>
      </w:pPr>
      <w:r w:rsidRPr="001C7784">
        <w:rPr>
          <w:rStyle w:val="EndnoteReference"/>
          <w:rFonts w:cs="Times New Roman"/>
          <w:sz w:val="24"/>
          <w:szCs w:val="24"/>
        </w:rPr>
        <w:endnoteRef/>
      </w:r>
      <w:r w:rsidRPr="001C7784">
        <w:rPr>
          <w:rFonts w:cs="Times New Roman"/>
          <w:sz w:val="24"/>
          <w:szCs w:val="24"/>
        </w:rPr>
        <w:t xml:space="preserve"> </w:t>
      </w:r>
      <w:r w:rsidRPr="001C7784">
        <w:rPr>
          <w:rFonts w:cs="Times New Roman"/>
          <w:sz w:val="24"/>
          <w:szCs w:val="24"/>
        </w:rPr>
        <w:t xml:space="preserve">Augustine, cf. Cyprianus Carthaginensis, </w:t>
      </w:r>
      <w:r w:rsidRPr="001C7784">
        <w:rPr>
          <w:rFonts w:cs="Times New Roman"/>
          <w:i/>
          <w:sz w:val="24"/>
          <w:szCs w:val="24"/>
        </w:rPr>
        <w:t>De singularitate clericorum</w:t>
      </w:r>
      <w:r w:rsidRPr="001C7784">
        <w:rPr>
          <w:rFonts w:cs="Times New Roman"/>
          <w:sz w:val="24"/>
          <w:szCs w:val="24"/>
        </w:rPr>
        <w:t xml:space="preserve"> adscriptus necnon Augustino (PL 4:837): Nimium praeceps est qui transire contendit, ubi alium conspexerit cecidisse: et vehementer infraenis est, cui non incutitur timor alio pereunte.</w:t>
      </w:r>
    </w:p>
    <w:p w14:paraId="0BDC8FF3" w14:textId="77777777" w:rsidR="001C7784" w:rsidRPr="001C7784" w:rsidRDefault="001C7784">
      <w:pPr>
        <w:pStyle w:val="EndnoteText"/>
        <w:rPr>
          <w:rFonts w:cs="Times New Roman"/>
          <w:sz w:val="24"/>
          <w:szCs w:val="24"/>
        </w:rPr>
      </w:pPr>
    </w:p>
  </w:endnote>
  <w:endnote w:id="4">
    <w:p w14:paraId="278B18D9" w14:textId="77777777" w:rsidR="001C7784" w:rsidRPr="001C7784" w:rsidRDefault="001C7784" w:rsidP="001C7784">
      <w:pPr>
        <w:pStyle w:val="EndnoteText"/>
        <w:rPr>
          <w:rFonts w:cs="Times New Roman"/>
          <w:sz w:val="24"/>
          <w:szCs w:val="24"/>
        </w:rPr>
      </w:pPr>
      <w:r w:rsidRPr="001C7784">
        <w:rPr>
          <w:rStyle w:val="EndnoteReference"/>
          <w:rFonts w:cs="Times New Roman"/>
          <w:sz w:val="24"/>
          <w:szCs w:val="24"/>
        </w:rPr>
        <w:endnoteRef/>
      </w:r>
      <w:r w:rsidRPr="001C7784">
        <w:rPr>
          <w:rFonts w:cs="Times New Roman"/>
          <w:sz w:val="24"/>
          <w:szCs w:val="24"/>
        </w:rPr>
        <w:t xml:space="preserve"> </w:t>
      </w:r>
      <w:bookmarkStart w:id="0" w:name="_Hlk6839119"/>
      <w:r w:rsidRPr="001C7784">
        <w:rPr>
          <w:rFonts w:cs="Times New Roman"/>
          <w:sz w:val="24"/>
          <w:szCs w:val="24"/>
        </w:rPr>
        <w:t xml:space="preserve">(Pseudo-)Chrysostom, </w:t>
      </w:r>
      <w:r w:rsidRPr="001C7784">
        <w:rPr>
          <w:rFonts w:cs="Times New Roman"/>
          <w:i/>
          <w:sz w:val="24"/>
          <w:szCs w:val="24"/>
        </w:rPr>
        <w:t>Opus imperfectum in Mattheum</w:t>
      </w:r>
      <w:r w:rsidRPr="001C7784">
        <w:rPr>
          <w:rFonts w:cs="Times New Roman"/>
          <w:sz w:val="24"/>
          <w:szCs w:val="24"/>
        </w:rPr>
        <w:t xml:space="preserve"> hom. 34 ex cap. 20 (PG 56:817)</w:t>
      </w:r>
      <w:bookmarkEnd w:id="0"/>
      <w:r w:rsidRPr="001C7784">
        <w:rPr>
          <w:rFonts w:cs="Times New Roman"/>
          <w:sz w:val="24"/>
          <w:szCs w:val="24"/>
        </w:rPr>
        <w:t>: Ruina pracedentium adminitio debet esse sequentium. Si autem et non sequentes cediderimus in ipsam, magis veniam merentur illi, qui primi ceciderunt, quam nos qui secondi.</w:t>
      </w:r>
    </w:p>
    <w:p w14:paraId="638AD205" w14:textId="1E44FFD2" w:rsidR="001C7784" w:rsidRPr="001C7784" w:rsidRDefault="001C7784">
      <w:pPr>
        <w:pStyle w:val="EndnoteText"/>
        <w:rPr>
          <w:rFonts w:cs="Times New Roman"/>
          <w:sz w:val="24"/>
          <w:szCs w:val="24"/>
        </w:rPr>
      </w:pPr>
    </w:p>
  </w:endnote>
  <w:endnote w:id="5">
    <w:p w14:paraId="293B2A0C" w14:textId="77777777" w:rsidR="001C7784" w:rsidRPr="001C7784" w:rsidRDefault="001C7784" w:rsidP="001C7784">
      <w:pPr>
        <w:pStyle w:val="EndnoteText"/>
        <w:rPr>
          <w:rFonts w:cs="Times New Roman"/>
          <w:sz w:val="24"/>
          <w:szCs w:val="24"/>
        </w:rPr>
      </w:pPr>
      <w:r w:rsidRPr="001C7784">
        <w:rPr>
          <w:rStyle w:val="EndnoteReference"/>
          <w:rFonts w:cs="Times New Roman"/>
          <w:sz w:val="24"/>
          <w:szCs w:val="24"/>
        </w:rPr>
        <w:endnoteRef/>
      </w:r>
      <w:r w:rsidRPr="001C7784">
        <w:rPr>
          <w:rFonts w:cs="Times New Roman"/>
          <w:sz w:val="24"/>
          <w:szCs w:val="24"/>
        </w:rPr>
        <w:t xml:space="preserve"> </w:t>
      </w:r>
      <w:bookmarkStart w:id="1" w:name="_Hlk6839359"/>
      <w:r w:rsidRPr="001C7784">
        <w:rPr>
          <w:rFonts w:cs="Times New Roman"/>
          <w:sz w:val="24"/>
          <w:szCs w:val="24"/>
        </w:rPr>
        <w:t xml:space="preserve">Jerome, </w:t>
      </w:r>
      <w:r w:rsidRPr="001C7784">
        <w:rPr>
          <w:rFonts w:cs="Times New Roman"/>
          <w:i/>
          <w:sz w:val="24"/>
          <w:szCs w:val="24"/>
        </w:rPr>
        <w:t>Epistolae</w:t>
      </w:r>
      <w:r w:rsidRPr="001C7784">
        <w:rPr>
          <w:rFonts w:cs="Times New Roman"/>
          <w:sz w:val="24"/>
          <w:szCs w:val="24"/>
        </w:rPr>
        <w:t xml:space="preserve"> quarta classis, 117.3 (PL 22:955)</w:t>
      </w:r>
      <w:bookmarkEnd w:id="1"/>
      <w:r w:rsidRPr="001C7784">
        <w:rPr>
          <w:rFonts w:cs="Times New Roman"/>
          <w:sz w:val="24"/>
          <w:szCs w:val="24"/>
        </w:rPr>
        <w:t xml:space="preserve">: Securius est perire non posse, quam juxta periculum non perisse. </w:t>
      </w:r>
    </w:p>
    <w:p w14:paraId="6AF98543" w14:textId="5DC8CE59" w:rsidR="001C7784" w:rsidRPr="001C7784" w:rsidRDefault="001C7784">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1A8B2" w14:textId="77777777" w:rsidR="001C7784" w:rsidRDefault="001C7784" w:rsidP="001C7784">
      <w:pPr>
        <w:spacing w:after="0" w:line="240" w:lineRule="auto"/>
      </w:pPr>
      <w:r>
        <w:separator/>
      </w:r>
    </w:p>
  </w:footnote>
  <w:footnote w:type="continuationSeparator" w:id="0">
    <w:p w14:paraId="522077EB" w14:textId="77777777" w:rsidR="001C7784" w:rsidRDefault="001C7784" w:rsidP="001C7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E4"/>
    <w:rsid w:val="000758D9"/>
    <w:rsid w:val="000868E4"/>
    <w:rsid w:val="000B5D85"/>
    <w:rsid w:val="001050A1"/>
    <w:rsid w:val="001C7784"/>
    <w:rsid w:val="00326931"/>
    <w:rsid w:val="00396E67"/>
    <w:rsid w:val="004B7ECA"/>
    <w:rsid w:val="008A3489"/>
    <w:rsid w:val="00A02979"/>
    <w:rsid w:val="00A73301"/>
    <w:rsid w:val="00B9284F"/>
    <w:rsid w:val="00BF689E"/>
    <w:rsid w:val="00C52DF8"/>
    <w:rsid w:val="00C62E06"/>
    <w:rsid w:val="00CD7686"/>
    <w:rsid w:val="00D90000"/>
    <w:rsid w:val="00F2432F"/>
    <w:rsid w:val="00F541F6"/>
    <w:rsid w:val="00F8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FA98"/>
  <w15:chartTrackingRefBased/>
  <w15:docId w15:val="{8816AF18-8B5C-4FA6-83CD-7B4567E2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1C77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7784"/>
    <w:rPr>
      <w:sz w:val="20"/>
      <w:szCs w:val="20"/>
    </w:rPr>
  </w:style>
  <w:style w:type="character" w:styleId="EndnoteReference">
    <w:name w:val="endnote reference"/>
    <w:basedOn w:val="DefaultParagraphFont"/>
    <w:uiPriority w:val="99"/>
    <w:semiHidden/>
    <w:unhideWhenUsed/>
    <w:rsid w:val="001C7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A0445B-F7EE-4F64-AD37-2331F9A3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2019-04-22T20:47:00Z</cp:lastPrinted>
  <dcterms:created xsi:type="dcterms:W3CDTF">2020-11-27T22:43:00Z</dcterms:created>
  <dcterms:modified xsi:type="dcterms:W3CDTF">2020-11-27T23:06:00Z</dcterms:modified>
</cp:coreProperties>
</file>