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6C2DA" w14:textId="77777777" w:rsidR="00B9284F" w:rsidRPr="008A4C63" w:rsidRDefault="00905CDF" w:rsidP="00DB4055">
      <w:pPr>
        <w:spacing w:line="480" w:lineRule="auto"/>
        <w:rPr>
          <w:rFonts w:cs="Times New Roman"/>
        </w:rPr>
      </w:pPr>
      <w:bookmarkStart w:id="0" w:name="_GoBack"/>
      <w:bookmarkEnd w:id="0"/>
      <w:r w:rsidRPr="008A4C63">
        <w:rPr>
          <w:rFonts w:cs="Times New Roman"/>
        </w:rPr>
        <w:t>277 Father (</w:t>
      </w:r>
      <w:r w:rsidRPr="008A4C63">
        <w:rPr>
          <w:rFonts w:cs="Times New Roman"/>
          <w:i/>
        </w:rPr>
        <w:t>Pater</w:t>
      </w:r>
      <w:r w:rsidRPr="008A4C63">
        <w:rPr>
          <w:rFonts w:cs="Times New Roman"/>
        </w:rPr>
        <w:t>)</w:t>
      </w:r>
    </w:p>
    <w:p w14:paraId="067E1D76" w14:textId="30445966" w:rsidR="0088499E" w:rsidRPr="008A4C63" w:rsidRDefault="00905CDF" w:rsidP="00DB4055">
      <w:pPr>
        <w:spacing w:line="480" w:lineRule="auto"/>
        <w:rPr>
          <w:rFonts w:cs="Times New Roman"/>
        </w:rPr>
      </w:pPr>
      <w:r w:rsidRPr="008A4C63">
        <w:rPr>
          <w:rFonts w:cs="Times New Roman"/>
        </w:rPr>
        <w:t>Augustine</w:t>
      </w:r>
      <w:r w:rsidR="00810A80" w:rsidRPr="008A4C63">
        <w:rPr>
          <w:rStyle w:val="EndnoteReference"/>
          <w:rFonts w:cs="Times New Roman"/>
        </w:rPr>
        <w:endnoteReference w:id="1"/>
      </w:r>
      <w:r w:rsidRPr="008A4C63">
        <w:rPr>
          <w:rFonts w:cs="Times New Roman"/>
        </w:rPr>
        <w:t xml:space="preserve"> in</w:t>
      </w:r>
      <w:r w:rsidR="001D321C" w:rsidRPr="008A4C63">
        <w:rPr>
          <w:rFonts w:cs="Times New Roman"/>
        </w:rPr>
        <w:t xml:space="preserve"> a</w:t>
      </w:r>
      <w:r w:rsidRPr="008A4C63">
        <w:rPr>
          <w:rFonts w:cs="Times New Roman"/>
        </w:rPr>
        <w:t xml:space="preserve"> </w:t>
      </w:r>
      <w:r w:rsidRPr="008A4C63">
        <w:rPr>
          <w:rFonts w:cs="Times New Roman"/>
          <w:i/>
        </w:rPr>
        <w:t>Sermone</w:t>
      </w:r>
      <w:r w:rsidRPr="008A4C63">
        <w:rPr>
          <w:rFonts w:cs="Times New Roman"/>
        </w:rPr>
        <w:t xml:space="preserve"> </w:t>
      </w:r>
      <w:r w:rsidR="00E4609B" w:rsidRPr="008A4C63">
        <w:rPr>
          <w:rFonts w:cs="Times New Roman"/>
        </w:rPr>
        <w:t>of the Lord</w:t>
      </w:r>
      <w:r w:rsidR="00A23DCD" w:rsidRPr="008A4C63">
        <w:rPr>
          <w:rFonts w:cs="Times New Roman"/>
        </w:rPr>
        <w:t>,</w:t>
      </w:r>
      <w:r w:rsidR="00A23DCD" w:rsidRPr="008A4C63">
        <w:rPr>
          <w:rStyle w:val="EndnoteReference"/>
          <w:rFonts w:cs="Times New Roman"/>
        </w:rPr>
        <w:endnoteReference w:id="2"/>
      </w:r>
      <w:r w:rsidR="00E4609B" w:rsidRPr="008A4C63">
        <w:rPr>
          <w:rFonts w:cs="Times New Roman"/>
        </w:rPr>
        <w:t xml:space="preserve"> </w:t>
      </w:r>
      <w:r w:rsidR="00842344" w:rsidRPr="008A4C63">
        <w:rPr>
          <w:rFonts w:cs="Times New Roman"/>
        </w:rPr>
        <w:t>concerning the way of making a</w:t>
      </w:r>
      <w:r w:rsidR="00E4609B" w:rsidRPr="008A4C63">
        <w:rPr>
          <w:rFonts w:cs="Times New Roman"/>
        </w:rPr>
        <w:t xml:space="preserve"> se</w:t>
      </w:r>
      <w:r w:rsidR="0088499E" w:rsidRPr="008A4C63">
        <w:rPr>
          <w:rFonts w:cs="Times New Roman"/>
        </w:rPr>
        <w:t xml:space="preserve">rmon 2, says that in the old testament God is the Lord on account of the severe punishment, but in the new testament he taught his disciples </w:t>
      </w:r>
      <w:r w:rsidR="00842344" w:rsidRPr="008A4C63">
        <w:rPr>
          <w:rFonts w:cs="Times New Roman"/>
        </w:rPr>
        <w:t>free</w:t>
      </w:r>
      <w:r w:rsidR="0088499E" w:rsidRPr="008A4C63">
        <w:rPr>
          <w:rFonts w:cs="Times New Roman"/>
        </w:rPr>
        <w:t>ly</w:t>
      </w:r>
      <w:r w:rsidR="00D47FEF" w:rsidRPr="008A4C63">
        <w:rPr>
          <w:rFonts w:cs="Times New Roman"/>
        </w:rPr>
        <w:t xml:space="preserve"> that</w:t>
      </w:r>
      <w:r w:rsidR="0088499E" w:rsidRPr="008A4C63">
        <w:rPr>
          <w:rFonts w:cs="Times New Roman"/>
        </w:rPr>
        <w:t xml:space="preserve"> he was the </w:t>
      </w:r>
      <w:r w:rsidR="001D321C" w:rsidRPr="008A4C63">
        <w:rPr>
          <w:rFonts w:cs="Times New Roman"/>
        </w:rPr>
        <w:t>father</w:t>
      </w:r>
      <w:r w:rsidR="0088499E" w:rsidRPr="008A4C63">
        <w:rPr>
          <w:rFonts w:cs="Times New Roman"/>
        </w:rPr>
        <w:t>, Matt. 6[:9]: “Thus,” he said, “shall you pray: Our Father who art in heaven,” etc.</w:t>
      </w:r>
    </w:p>
    <w:p w14:paraId="2F3CD970" w14:textId="155B8D55" w:rsidR="00905CDF" w:rsidRPr="008A4C63" w:rsidRDefault="0088499E" w:rsidP="00DB4055">
      <w:pPr>
        <w:spacing w:line="480" w:lineRule="auto"/>
        <w:rPr>
          <w:rFonts w:cs="Times New Roman"/>
        </w:rPr>
      </w:pPr>
      <w:r w:rsidRPr="008A4C63">
        <w:rPr>
          <w:rFonts w:cs="Times New Roman"/>
        </w:rPr>
        <w:t xml:space="preserve">¶ For according to Hilary, book one, </w:t>
      </w:r>
      <w:r w:rsidRPr="008A4C63">
        <w:rPr>
          <w:rFonts w:cs="Times New Roman"/>
          <w:i/>
        </w:rPr>
        <w:t>De Trinitate</w:t>
      </w:r>
      <w:r w:rsidRPr="008A4C63">
        <w:rPr>
          <w:rFonts w:cs="Times New Roman"/>
        </w:rPr>
        <w:t>,</w:t>
      </w:r>
      <w:r w:rsidR="00CB0A61" w:rsidRPr="008A4C63">
        <w:rPr>
          <w:rStyle w:val="EndnoteReference"/>
          <w:rFonts w:cs="Times New Roman"/>
        </w:rPr>
        <w:endnoteReference w:id="3"/>
      </w:r>
      <w:r w:rsidRPr="008A4C63">
        <w:rPr>
          <w:rFonts w:cs="Times New Roman"/>
        </w:rPr>
        <w:t xml:space="preserve"> God is by the name of power, Father is by the name of </w:t>
      </w:r>
      <w:r w:rsidR="001D321C" w:rsidRPr="008A4C63">
        <w:rPr>
          <w:rFonts w:cs="Times New Roman"/>
        </w:rPr>
        <w:t>piety</w:t>
      </w:r>
      <w:r w:rsidRPr="008A4C63">
        <w:rPr>
          <w:rFonts w:cs="Times New Roman"/>
        </w:rPr>
        <w:t>. In the figure</w:t>
      </w:r>
      <w:r w:rsidR="00810A80" w:rsidRPr="008A4C63">
        <w:rPr>
          <w:rStyle w:val="EndnoteReference"/>
          <w:rFonts w:cs="Times New Roman"/>
        </w:rPr>
        <w:endnoteReference w:id="4"/>
      </w:r>
      <w:r w:rsidRPr="008A4C63">
        <w:rPr>
          <w:rFonts w:cs="Times New Roman"/>
        </w:rPr>
        <w:t xml:space="preserve"> of which, Luke 15[:21] when the </w:t>
      </w:r>
      <w:r w:rsidR="001D321C" w:rsidRPr="008A4C63">
        <w:rPr>
          <w:rFonts w:cs="Times New Roman"/>
        </w:rPr>
        <w:t>prodigal</w:t>
      </w:r>
      <w:r w:rsidRPr="008A4C63">
        <w:rPr>
          <w:rFonts w:cs="Times New Roman"/>
        </w:rPr>
        <w:t xml:space="preserve"> son said, “Father, I have sinned.” </w:t>
      </w:r>
      <w:r w:rsidR="00BC1071" w:rsidRPr="008A4C63">
        <w:rPr>
          <w:rFonts w:cs="Times New Roman"/>
        </w:rPr>
        <w:t>He kissed him. Where Peter of Ravenna said,</w:t>
      </w:r>
      <w:r w:rsidR="00CB0A61" w:rsidRPr="008A4C63">
        <w:rPr>
          <w:rStyle w:val="EndnoteReference"/>
          <w:rFonts w:cs="Times New Roman"/>
        </w:rPr>
        <w:endnoteReference w:id="5"/>
      </w:r>
      <w:r w:rsidR="00BC1071" w:rsidRPr="008A4C63">
        <w:rPr>
          <w:rFonts w:cs="Times New Roman"/>
        </w:rPr>
        <w:t xml:space="preserve"> why</w:t>
      </w:r>
      <w:r w:rsidR="009220DE" w:rsidRPr="008A4C63">
        <w:rPr>
          <w:rFonts w:cs="Times New Roman"/>
        </w:rPr>
        <w:t xml:space="preserve"> do we not return to the father, who did not say to the returning prodigal son, Where have you been, What did you do, Wh</w:t>
      </w:r>
      <w:r w:rsidR="00D01609" w:rsidRPr="008A4C63">
        <w:rPr>
          <w:rFonts w:cs="Times New Roman"/>
        </w:rPr>
        <w:t>at</w:t>
      </w:r>
      <w:r w:rsidR="009220DE" w:rsidRPr="008A4C63">
        <w:rPr>
          <w:rFonts w:cs="Times New Roman"/>
        </w:rPr>
        <w:t xml:space="preserve"> </w:t>
      </w:r>
      <w:r w:rsidR="00D47FEF" w:rsidRPr="008A4C63">
        <w:rPr>
          <w:rFonts w:cs="Times New Roman"/>
        </w:rPr>
        <w:t>became of</w:t>
      </w:r>
      <w:r w:rsidR="009220DE" w:rsidRPr="008A4C63">
        <w:rPr>
          <w:rFonts w:cs="Times New Roman"/>
        </w:rPr>
        <w:t xml:space="preserve"> the things which you</w:t>
      </w:r>
      <w:r w:rsidR="00D47FEF" w:rsidRPr="008A4C63">
        <w:rPr>
          <w:rFonts w:cs="Times New Roman"/>
        </w:rPr>
        <w:t xml:space="preserve"> carried away</w:t>
      </w:r>
      <w:r w:rsidR="009220DE" w:rsidRPr="008A4C63">
        <w:rPr>
          <w:rFonts w:cs="Times New Roman"/>
        </w:rPr>
        <w:t xml:space="preserve">. But kissing him he said [Luke 15:22]: “Bring forth quickly the first robe,” etc. For the power of love did not see the offenses. Thus far Peter. </w:t>
      </w:r>
      <w:r w:rsidR="00D01609" w:rsidRPr="008A4C63">
        <w:rPr>
          <w:rFonts w:cs="Times New Roman"/>
        </w:rPr>
        <w:t>So,</w:t>
      </w:r>
      <w:r w:rsidR="009220DE" w:rsidRPr="008A4C63">
        <w:rPr>
          <w:rFonts w:cs="Times New Roman"/>
        </w:rPr>
        <w:t xml:space="preserve"> we also do, for certainly we </w:t>
      </w:r>
      <w:r w:rsidR="004C1FAD" w:rsidRPr="008A4C63">
        <w:rPr>
          <w:rFonts w:cs="Times New Roman"/>
        </w:rPr>
        <w:t xml:space="preserve">spend our times evilly. And we say to the Father, [Luke 15:19]: “I am not worthy to be called your son.” Just as Peter who was crucified for you, or just as Paul who was beheaded, but make me just like yours among the </w:t>
      </w:r>
      <w:r w:rsidR="001D321C" w:rsidRPr="008A4C63">
        <w:rPr>
          <w:rFonts w:cs="Times New Roman"/>
        </w:rPr>
        <w:t>number</w:t>
      </w:r>
      <w:r w:rsidR="004C1FAD" w:rsidRPr="008A4C63">
        <w:rPr>
          <w:rFonts w:cs="Times New Roman"/>
        </w:rPr>
        <w:t xml:space="preserve"> of the saved.</w:t>
      </w:r>
    </w:p>
    <w:p w14:paraId="4C6E5F8D" w14:textId="25683EA6" w:rsidR="004C1FAD" w:rsidRPr="008A4C63" w:rsidRDefault="004C1FAD" w:rsidP="00DB4055">
      <w:pPr>
        <w:spacing w:line="480" w:lineRule="auto"/>
        <w:rPr>
          <w:rFonts w:cs="Times New Roman"/>
        </w:rPr>
      </w:pPr>
      <w:r w:rsidRPr="008A4C63">
        <w:rPr>
          <w:rFonts w:cs="Times New Roman"/>
        </w:rPr>
        <w:t>¶ Certainly God,</w:t>
      </w:r>
      <w:r w:rsidR="004E06F7" w:rsidRPr="008A4C63">
        <w:rPr>
          <w:rStyle w:val="EndnoteReference"/>
          <w:rFonts w:cs="Times New Roman"/>
        </w:rPr>
        <w:endnoteReference w:id="6"/>
      </w:r>
      <w:r w:rsidRPr="008A4C63">
        <w:rPr>
          <w:rFonts w:cs="Times New Roman"/>
        </w:rPr>
        <w:t xml:space="preserve"> God</w:t>
      </w:r>
      <w:r w:rsidR="00F472EF" w:rsidRPr="008A4C63">
        <w:rPr>
          <w:rFonts w:cs="Times New Roman"/>
        </w:rPr>
        <w:t xml:space="preserve"> in the custom of a good </w:t>
      </w:r>
      <w:r w:rsidR="001D321C" w:rsidRPr="008A4C63">
        <w:rPr>
          <w:rFonts w:cs="Times New Roman"/>
        </w:rPr>
        <w:t>bird catcher</w:t>
      </w:r>
      <w:r w:rsidR="00F472EF" w:rsidRPr="008A4C63">
        <w:rPr>
          <w:rFonts w:cs="Times New Roman"/>
        </w:rPr>
        <w:t xml:space="preserve"> is inclined to recall th</w:t>
      </w:r>
      <w:r w:rsidR="00D01609" w:rsidRPr="008A4C63">
        <w:rPr>
          <w:rFonts w:cs="Times New Roman"/>
        </w:rPr>
        <w:t>o</w:t>
      </w:r>
      <w:r w:rsidR="00F472EF" w:rsidRPr="008A4C63">
        <w:rPr>
          <w:rFonts w:cs="Times New Roman"/>
        </w:rPr>
        <w:t>s</w:t>
      </w:r>
      <w:r w:rsidR="00D01609" w:rsidRPr="008A4C63">
        <w:rPr>
          <w:rFonts w:cs="Times New Roman"/>
        </w:rPr>
        <w:t>e</w:t>
      </w:r>
      <w:r w:rsidR="00F472EF" w:rsidRPr="008A4C63">
        <w:rPr>
          <w:rFonts w:cs="Times New Roman"/>
        </w:rPr>
        <w:t xml:space="preserve"> sons flying away with reclamation of his own body reddened on the cross, Osee [9:11]:</w:t>
      </w:r>
    </w:p>
    <w:p w14:paraId="41547119" w14:textId="77777777" w:rsidR="00F472EF" w:rsidRPr="008A4C63" w:rsidRDefault="00F472EF" w:rsidP="00DB4055">
      <w:pPr>
        <w:spacing w:line="480" w:lineRule="auto"/>
        <w:rPr>
          <w:rFonts w:cs="Times New Roman"/>
        </w:rPr>
      </w:pPr>
      <w:r w:rsidRPr="008A4C63">
        <w:rPr>
          <w:rFonts w:cs="Times New Roman"/>
        </w:rPr>
        <w:t xml:space="preserve">¶ As for Ephraim, they have flown away like a bird.” Ephraim is interpreted as fruitful, it designates being abundant in this world, they who might easily forget God, according to that of Deut. 32[:15]: “The beloved grew </w:t>
      </w:r>
      <w:r w:rsidR="00D01609" w:rsidRPr="008A4C63">
        <w:rPr>
          <w:rFonts w:cs="Times New Roman"/>
        </w:rPr>
        <w:t>fat and</w:t>
      </w:r>
      <w:r w:rsidRPr="008A4C63">
        <w:rPr>
          <w:rFonts w:cs="Times New Roman"/>
        </w:rPr>
        <w:t xml:space="preserve"> kicked.”</w:t>
      </w:r>
    </w:p>
    <w:p w14:paraId="5A97C85A" w14:textId="1E43682B" w:rsidR="00500EF0" w:rsidRPr="008A4C63" w:rsidRDefault="00F472EF" w:rsidP="00DB4055">
      <w:pPr>
        <w:spacing w:line="480" w:lineRule="auto"/>
        <w:rPr>
          <w:rFonts w:cs="Times New Roman"/>
        </w:rPr>
      </w:pPr>
      <w:r w:rsidRPr="008A4C63">
        <w:rPr>
          <w:rFonts w:cs="Times New Roman"/>
        </w:rPr>
        <w:t xml:space="preserve">¶ </w:t>
      </w:r>
      <w:r w:rsidR="000922F6" w:rsidRPr="008A4C63">
        <w:rPr>
          <w:rFonts w:cs="Times New Roman"/>
        </w:rPr>
        <w:t>Wherefore</w:t>
      </w:r>
      <w:r w:rsidR="00814956" w:rsidRPr="008A4C63">
        <w:rPr>
          <w:rFonts w:cs="Times New Roman"/>
        </w:rPr>
        <w:t>,</w:t>
      </w:r>
      <w:r w:rsidR="00814956" w:rsidRPr="008A4C63">
        <w:rPr>
          <w:rStyle w:val="EndnoteReference"/>
          <w:rFonts w:cs="Times New Roman"/>
        </w:rPr>
        <w:endnoteReference w:id="7"/>
      </w:r>
      <w:r w:rsidR="000922F6" w:rsidRPr="008A4C63">
        <w:rPr>
          <w:rFonts w:cs="Times New Roman"/>
        </w:rPr>
        <w:t xml:space="preserve"> it would be safe for us to do as boys do who fearing for themselves for a </w:t>
      </w:r>
      <w:r w:rsidR="008F430C" w:rsidRPr="008A4C63">
        <w:rPr>
          <w:rFonts w:cs="Times New Roman"/>
        </w:rPr>
        <w:t xml:space="preserve">beating carry the rod to the father by which they will be beaten. Which seen, the father has mercy. If therefore honor and love are owed to the father of the flesh, according to that of Deut. 5[:16]: </w:t>
      </w:r>
      <w:r w:rsidR="008F430C" w:rsidRPr="008A4C63">
        <w:rPr>
          <w:rFonts w:cs="Times New Roman"/>
        </w:rPr>
        <w:lastRenderedPageBreak/>
        <w:t>“</w:t>
      </w:r>
      <w:r w:rsidR="001D321C" w:rsidRPr="008A4C63">
        <w:rPr>
          <w:rFonts w:cs="Times New Roman"/>
        </w:rPr>
        <w:t>Honor</w:t>
      </w:r>
      <w:r w:rsidR="008F430C" w:rsidRPr="008A4C63">
        <w:rPr>
          <w:rFonts w:cs="Times New Roman"/>
        </w:rPr>
        <w:t xml:space="preserve"> your father and mother,” that you may live a long time in the land. And Deut. 27[:16]: “Cursed be he that honors not his father and mother.” And Eccli. 7[:29]: </w:t>
      </w:r>
      <w:r w:rsidR="00500EF0" w:rsidRPr="008A4C63">
        <w:rPr>
          <w:rFonts w:cs="Times New Roman"/>
        </w:rPr>
        <w:t>“</w:t>
      </w:r>
      <w:r w:rsidR="001D321C" w:rsidRPr="008A4C63">
        <w:rPr>
          <w:rFonts w:cs="Times New Roman"/>
        </w:rPr>
        <w:t>Honor</w:t>
      </w:r>
      <w:r w:rsidR="00500EF0" w:rsidRPr="008A4C63">
        <w:rPr>
          <w:rFonts w:cs="Times New Roman"/>
        </w:rPr>
        <w:t xml:space="preserve"> your </w:t>
      </w:r>
      <w:r w:rsidR="00D01609" w:rsidRPr="008A4C63">
        <w:rPr>
          <w:rFonts w:cs="Times New Roman"/>
        </w:rPr>
        <w:t>father and</w:t>
      </w:r>
      <w:r w:rsidR="00500EF0" w:rsidRPr="008A4C63">
        <w:rPr>
          <w:rFonts w:cs="Times New Roman"/>
        </w:rPr>
        <w:t xml:space="preserve"> forget not the groanings of your mother.” These things are owed much more to God our spiritual Father, and the cause of creation generally, and the cause of adoption spiritually, and the cause of the incarnation and redemption singularly, according to that of Mal. 1[:6]: “If then I be a father, where is my” love? Wherefore Chrysostom, homily 18, </w:t>
      </w:r>
      <w:r w:rsidR="00500EF0" w:rsidRPr="008A4C63">
        <w:rPr>
          <w:rFonts w:cs="Times New Roman"/>
          <w:i/>
        </w:rPr>
        <w:t>Super Mattheum</w:t>
      </w:r>
      <w:r w:rsidR="00500EF0" w:rsidRPr="008A4C63">
        <w:rPr>
          <w:rFonts w:cs="Times New Roman"/>
        </w:rPr>
        <w:t>,</w:t>
      </w:r>
      <w:r w:rsidR="00CB0A61" w:rsidRPr="008A4C63">
        <w:rPr>
          <w:rStyle w:val="EndnoteReference"/>
          <w:rFonts w:cs="Times New Roman"/>
        </w:rPr>
        <w:endnoteReference w:id="8"/>
      </w:r>
      <w:r w:rsidR="00500EF0" w:rsidRPr="008A4C63">
        <w:rPr>
          <w:rFonts w:cs="Times New Roman"/>
        </w:rPr>
        <w:t xml:space="preserve"> therefore the Gospel introduces the similitude of the fathers and sons, that if we despair </w:t>
      </w:r>
      <w:r w:rsidR="00D01609" w:rsidRPr="008A4C63">
        <w:rPr>
          <w:rFonts w:cs="Times New Roman"/>
        </w:rPr>
        <w:t>because of</w:t>
      </w:r>
      <w:r w:rsidR="00500EF0" w:rsidRPr="008A4C63">
        <w:rPr>
          <w:rFonts w:cs="Times New Roman"/>
        </w:rPr>
        <w:t xml:space="preserve"> our sins, </w:t>
      </w:r>
      <w:r w:rsidR="00D01609" w:rsidRPr="008A4C63">
        <w:rPr>
          <w:rFonts w:cs="Times New Roman"/>
        </w:rPr>
        <w:t>because of</w:t>
      </w:r>
      <w:r w:rsidR="00500EF0" w:rsidRPr="008A4C63">
        <w:rPr>
          <w:rFonts w:cs="Times New Roman"/>
        </w:rPr>
        <w:t xml:space="preserve"> paternal goodness we may have hope. </w:t>
      </w:r>
      <w:r w:rsidR="00AB00FA" w:rsidRPr="008A4C63">
        <w:rPr>
          <w:rFonts w:cs="Times New Roman"/>
        </w:rPr>
        <w:t xml:space="preserve">Thence it is that Eliseus seeing his master to be taken up into the air, </w:t>
      </w:r>
      <w:r w:rsidR="00770660" w:rsidRPr="008A4C63">
        <w:rPr>
          <w:rFonts w:cs="Times New Roman"/>
        </w:rPr>
        <w:t xml:space="preserve">4 Reg. 2[:12]: “He cried: My father, my father, the chariot of Israel, and the driver thereof.” Which word Gregory treating, </w:t>
      </w:r>
      <w:r w:rsidR="00770660" w:rsidRPr="008A4C63">
        <w:rPr>
          <w:rFonts w:cs="Times New Roman"/>
          <w:i/>
        </w:rPr>
        <w:t>Super Ezechielem</w:t>
      </w:r>
      <w:r w:rsidR="00770660" w:rsidRPr="008A4C63">
        <w:rPr>
          <w:rFonts w:cs="Times New Roman"/>
        </w:rPr>
        <w:t>, the second part, homily 9,</w:t>
      </w:r>
      <w:r w:rsidR="00CB0A61" w:rsidRPr="008A4C63">
        <w:rPr>
          <w:rStyle w:val="EndnoteReference"/>
          <w:rFonts w:cs="Times New Roman"/>
        </w:rPr>
        <w:endnoteReference w:id="9"/>
      </w:r>
      <w:r w:rsidR="00770660" w:rsidRPr="008A4C63">
        <w:rPr>
          <w:rFonts w:cs="Times New Roman"/>
        </w:rPr>
        <w:t xml:space="preserve"> says that that one said chariot and driver because the father needed to carry the son and drive him. Wherefore Augustine, </w:t>
      </w:r>
      <w:r w:rsidR="00770660" w:rsidRPr="008A4C63">
        <w:rPr>
          <w:rFonts w:cs="Times New Roman"/>
          <w:i/>
        </w:rPr>
        <w:t>Epist</w:t>
      </w:r>
      <w:r w:rsidR="00D01609" w:rsidRPr="008A4C63">
        <w:rPr>
          <w:rFonts w:cs="Times New Roman"/>
          <w:i/>
        </w:rPr>
        <w:t>o</w:t>
      </w:r>
      <w:r w:rsidR="00770660" w:rsidRPr="008A4C63">
        <w:rPr>
          <w:rFonts w:cs="Times New Roman"/>
          <w:i/>
        </w:rPr>
        <w:t>la</w:t>
      </w:r>
      <w:r w:rsidR="00770660" w:rsidRPr="008A4C63">
        <w:rPr>
          <w:rFonts w:cs="Times New Roman"/>
        </w:rPr>
        <w:t xml:space="preserve"> 84,</w:t>
      </w:r>
      <w:r w:rsidR="00CB0A61" w:rsidRPr="008A4C63">
        <w:rPr>
          <w:rStyle w:val="EndnoteReference"/>
          <w:rFonts w:cs="Times New Roman"/>
        </w:rPr>
        <w:endnoteReference w:id="10"/>
      </w:r>
      <w:r w:rsidR="00770660" w:rsidRPr="008A4C63">
        <w:rPr>
          <w:rFonts w:cs="Times New Roman"/>
        </w:rPr>
        <w:t xml:space="preserve"> </w:t>
      </w:r>
      <w:r w:rsidR="004E2D94" w:rsidRPr="008A4C63">
        <w:rPr>
          <w:rFonts w:cs="Times New Roman"/>
        </w:rPr>
        <w:t>if you call God the Father. Come to the honor of the father, guard the customs of the father, fulfill the will of the father, if you wish to obtain his inheritance. Because it is the son despising the father who merits to receive the inheritance. Wherefore Christ when he was reproached by his putative father and mother, Luke 2[:49] responded, “I must be about my father's business?” Wherefore Eccli. 3[:7]: “He that honors his father shall enjoy a long life.”</w:t>
      </w:r>
    </w:p>
    <w:sectPr w:rsidR="00500EF0" w:rsidRPr="008A4C6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235D5" w14:textId="77777777" w:rsidR="00A23DCD" w:rsidRDefault="00A23DCD" w:rsidP="00A23DCD">
      <w:pPr>
        <w:spacing w:after="0" w:line="240" w:lineRule="auto"/>
      </w:pPr>
      <w:r>
        <w:separator/>
      </w:r>
    </w:p>
  </w:endnote>
  <w:endnote w:type="continuationSeparator" w:id="0">
    <w:p w14:paraId="520A8B0C" w14:textId="77777777" w:rsidR="00A23DCD" w:rsidRDefault="00A23DCD" w:rsidP="00A23DCD">
      <w:pPr>
        <w:spacing w:after="0" w:line="240" w:lineRule="auto"/>
      </w:pPr>
      <w:r>
        <w:continuationSeparator/>
      </w:r>
    </w:p>
  </w:endnote>
  <w:endnote w:id="1">
    <w:p w14:paraId="49267AD1" w14:textId="5AD415F7" w:rsidR="00810A80" w:rsidRPr="00810A80" w:rsidRDefault="00810A80">
      <w:pPr>
        <w:pStyle w:val="EndnoteText"/>
        <w:rPr>
          <w:rFonts w:cs="Times New Roman"/>
          <w:sz w:val="24"/>
          <w:szCs w:val="24"/>
        </w:rPr>
      </w:pPr>
      <w:r w:rsidRPr="00810A80">
        <w:rPr>
          <w:rStyle w:val="EndnoteReference"/>
          <w:rFonts w:cs="Times New Roman"/>
          <w:sz w:val="24"/>
          <w:szCs w:val="24"/>
        </w:rPr>
        <w:endnoteRef/>
      </w:r>
      <w:r w:rsidRPr="00810A80">
        <w:rPr>
          <w:rFonts w:cs="Times New Roman"/>
          <w:sz w:val="24"/>
          <w:szCs w:val="24"/>
        </w:rPr>
        <w:t xml:space="preserve"> Cf. </w:t>
      </w:r>
      <w:r w:rsidRPr="00810A80">
        <w:rPr>
          <w:rFonts w:cs="Times New Roman"/>
          <w:i/>
          <w:iCs/>
          <w:sz w:val="24"/>
          <w:szCs w:val="24"/>
        </w:rPr>
        <w:t>Fasciculus morum</w:t>
      </w:r>
      <w:r w:rsidRPr="00810A80">
        <w:rPr>
          <w:rFonts w:cs="Times New Roman"/>
          <w:sz w:val="24"/>
          <w:szCs w:val="24"/>
        </w:rPr>
        <w:t xml:space="preserve">1.9 (p. 68): </w:t>
      </w:r>
      <w:r>
        <w:rPr>
          <w:rFonts w:cs="Times New Roman"/>
          <w:sz w:val="24"/>
          <w:szCs w:val="24"/>
        </w:rPr>
        <w:t xml:space="preserve">Unde Augustinus: “Vocatur, inquit, Christus novi testamenti ‘Pater noster qui es in celis’.... </w:t>
      </w:r>
    </w:p>
    <w:p w14:paraId="3C9A230C" w14:textId="77777777" w:rsidR="00810A80" w:rsidRPr="00810A80" w:rsidRDefault="00810A80">
      <w:pPr>
        <w:pStyle w:val="EndnoteText"/>
        <w:rPr>
          <w:rFonts w:cs="Times New Roman"/>
          <w:sz w:val="24"/>
          <w:szCs w:val="24"/>
        </w:rPr>
      </w:pPr>
    </w:p>
  </w:endnote>
  <w:endnote w:id="2">
    <w:p w14:paraId="553BA647" w14:textId="77777777" w:rsidR="00CB0A61" w:rsidRPr="00810A80" w:rsidRDefault="00A23DCD" w:rsidP="00CB0A61">
      <w:pPr>
        <w:pStyle w:val="EndnoteText"/>
        <w:rPr>
          <w:rFonts w:cs="Times New Roman"/>
          <w:sz w:val="24"/>
          <w:szCs w:val="24"/>
        </w:rPr>
      </w:pPr>
      <w:r w:rsidRPr="00810A80">
        <w:rPr>
          <w:rStyle w:val="EndnoteReference"/>
          <w:rFonts w:cs="Times New Roman"/>
          <w:sz w:val="24"/>
          <w:szCs w:val="24"/>
        </w:rPr>
        <w:endnoteRef/>
      </w:r>
      <w:r w:rsidRPr="00810A80">
        <w:rPr>
          <w:rFonts w:cs="Times New Roman"/>
          <w:sz w:val="24"/>
          <w:szCs w:val="24"/>
        </w:rPr>
        <w:t xml:space="preserve"> </w:t>
      </w:r>
      <w:r w:rsidR="00CB0A61" w:rsidRPr="00810A80">
        <w:rPr>
          <w:rFonts w:cs="Times New Roman"/>
          <w:sz w:val="24"/>
          <w:szCs w:val="24"/>
        </w:rPr>
        <w:t>Cf. Augustine, Sermo de Scripturis 58.1 (PL 38): Ipse Filius sicut audistis, cum Evangilium legeretur, docuit discipulos suos et fideles suos hanc Orationem. Spem habemus obtinendae causae nostrae, quando talis jurisperitus nobis Preces dictavit. Assessor Patris, sicut confessi estis, qui sedet ad dexteram Patris: ipse est advocatus noster, qui futurus est judex noster. Inde enim venturus est judicare vivos et mortuos. Tenete ergo et hanc Orationem, quam reddituri estis ad octo dies.</w:t>
      </w:r>
    </w:p>
    <w:p w14:paraId="6C66DF30" w14:textId="77777777" w:rsidR="00CB0A61" w:rsidRPr="00810A80" w:rsidRDefault="00CB0A61" w:rsidP="00CB0A61">
      <w:pPr>
        <w:pStyle w:val="EndnoteText"/>
        <w:rPr>
          <w:rFonts w:cs="Times New Roman"/>
          <w:sz w:val="24"/>
          <w:szCs w:val="24"/>
        </w:rPr>
      </w:pPr>
    </w:p>
    <w:p w14:paraId="418D15C5" w14:textId="77777777" w:rsidR="00CB0A61" w:rsidRPr="00810A80" w:rsidRDefault="00CB0A61" w:rsidP="00CB0A61">
      <w:pPr>
        <w:pStyle w:val="EndnoteText"/>
        <w:rPr>
          <w:rFonts w:cs="Times New Roman"/>
          <w:sz w:val="24"/>
          <w:szCs w:val="24"/>
        </w:rPr>
      </w:pPr>
      <w:r w:rsidRPr="00810A80">
        <w:rPr>
          <w:rFonts w:cs="Times New Roman"/>
          <w:sz w:val="24"/>
          <w:szCs w:val="24"/>
        </w:rPr>
        <w:t xml:space="preserve">Cf. Sicardus Cremonensis, </w:t>
      </w:r>
      <w:r w:rsidRPr="00810A80">
        <w:rPr>
          <w:rFonts w:cs="Times New Roman"/>
          <w:i/>
          <w:sz w:val="24"/>
          <w:szCs w:val="24"/>
        </w:rPr>
        <w:t>De officiis ecclesiae</w:t>
      </w:r>
      <w:r w:rsidRPr="00810A80">
        <w:rPr>
          <w:rFonts w:cs="Times New Roman"/>
          <w:sz w:val="24"/>
          <w:szCs w:val="24"/>
        </w:rPr>
        <w:t xml:space="preserve"> 6 (PL 213:171): Et vide quod quandoque ponitur personaliter, ut Deus genuit Deum, id est Pater Filium, et uterque [Col.0171D] Deus est; Dominus, ut ait Augustinus, non est naturae sed potestatis, sed hic secundum quod dicitur a dominio, quia «Dominus nomen est illi.» Verum secundum quod dicitur a dominando, indicativum est relationis, «quia sicut singillatim unamquamque personam Deum, ac Dominum confiteri Christiana veritate compellimur; ita tres deos, aut Dominos dicere catholica religione </w:t>
      </w:r>
      <w:proofErr w:type="gramStart"/>
      <w:r w:rsidRPr="00810A80">
        <w:rPr>
          <w:rFonts w:cs="Times New Roman"/>
          <w:sz w:val="24"/>
          <w:szCs w:val="24"/>
        </w:rPr>
        <w:t>prohibemur.»</w:t>
      </w:r>
      <w:proofErr w:type="gramEnd"/>
      <w:r w:rsidRPr="00810A80">
        <w:rPr>
          <w:rFonts w:cs="Times New Roman"/>
          <w:sz w:val="24"/>
          <w:szCs w:val="24"/>
        </w:rPr>
        <w:t xml:space="preserve"> Ac si dicat haec essentialia non pluraliter, sed singulariter dicuntur de omnibus, et in summa.</w:t>
      </w:r>
    </w:p>
    <w:p w14:paraId="12E7DE8A" w14:textId="5C88FE9B" w:rsidR="00A23DCD" w:rsidRPr="00810A80" w:rsidRDefault="00A23DCD">
      <w:pPr>
        <w:pStyle w:val="EndnoteText"/>
        <w:rPr>
          <w:rFonts w:cs="Times New Roman"/>
          <w:sz w:val="24"/>
          <w:szCs w:val="24"/>
        </w:rPr>
      </w:pPr>
    </w:p>
  </w:endnote>
  <w:endnote w:id="3">
    <w:p w14:paraId="531E1C0C" w14:textId="77777777" w:rsidR="00CB0A61" w:rsidRPr="00810A80" w:rsidRDefault="00CB0A61" w:rsidP="00CB0A61">
      <w:pPr>
        <w:pStyle w:val="EndnoteText"/>
        <w:rPr>
          <w:rFonts w:cs="Times New Roman"/>
          <w:sz w:val="24"/>
          <w:szCs w:val="24"/>
        </w:rPr>
      </w:pPr>
      <w:r w:rsidRPr="00810A80">
        <w:rPr>
          <w:rStyle w:val="EndnoteReference"/>
          <w:rFonts w:cs="Times New Roman"/>
          <w:sz w:val="24"/>
          <w:szCs w:val="24"/>
        </w:rPr>
        <w:endnoteRef/>
      </w:r>
      <w:r w:rsidRPr="00810A80">
        <w:rPr>
          <w:rFonts w:cs="Times New Roman"/>
          <w:sz w:val="24"/>
          <w:szCs w:val="24"/>
        </w:rPr>
        <w:t xml:space="preserve"> </w:t>
      </w:r>
      <w:bookmarkStart w:id="1" w:name="_Hlk6308325"/>
      <w:r w:rsidRPr="00810A80">
        <w:rPr>
          <w:rFonts w:cs="Times New Roman"/>
          <w:sz w:val="24"/>
          <w:szCs w:val="24"/>
        </w:rPr>
        <w:t xml:space="preserve">Hilary of Poitiers, </w:t>
      </w:r>
      <w:r w:rsidRPr="00810A80">
        <w:rPr>
          <w:rFonts w:cs="Times New Roman"/>
          <w:i/>
          <w:sz w:val="24"/>
          <w:szCs w:val="24"/>
        </w:rPr>
        <w:t>De Trinitate</w:t>
      </w:r>
      <w:r w:rsidRPr="00810A80">
        <w:rPr>
          <w:rFonts w:cs="Times New Roman"/>
          <w:sz w:val="24"/>
          <w:szCs w:val="24"/>
        </w:rPr>
        <w:t xml:space="preserve"> 1.8-9. (PL 10:31)</w:t>
      </w:r>
      <w:bookmarkEnd w:id="1"/>
      <w:r w:rsidRPr="00810A80">
        <w:rPr>
          <w:rFonts w:cs="Times New Roman"/>
          <w:sz w:val="24"/>
          <w:szCs w:val="24"/>
        </w:rPr>
        <w:t>: Deus intelligentiam excedens fide attingendus.---His itaque piae opinionis atque doctrinae studiis animus imbutus, in secessu quodam ac specula pulcherrimae hujus sententiae requiescebat, non sibi relictum quidquam aliud a natura sua intelligens, in quo majus officium praestare Conditori suo minusve posset, quam ut tantum eum esse intelligeret, quantus et intelligi non potest, et potest credi: dum intelligentiam et fides sibi necessariae religionis assumit, et infinitas aeternae potestatis excedit.</w:t>
      </w:r>
    </w:p>
    <w:p w14:paraId="4526D558" w14:textId="77777777" w:rsidR="00CB0A61" w:rsidRPr="00810A80" w:rsidRDefault="00CB0A61" w:rsidP="00CB0A61">
      <w:pPr>
        <w:pStyle w:val="EndnoteText"/>
        <w:rPr>
          <w:rFonts w:cs="Times New Roman"/>
          <w:sz w:val="24"/>
          <w:szCs w:val="24"/>
        </w:rPr>
      </w:pPr>
      <w:r w:rsidRPr="00810A80">
        <w:rPr>
          <w:rFonts w:cs="Times New Roman"/>
          <w:sz w:val="24"/>
          <w:szCs w:val="24"/>
        </w:rPr>
        <w:t xml:space="preserve">1.9. In immortalitatis spem assurgit Hilarius. Hanc ratio ipsa ei </w:t>
      </w:r>
      <w:proofErr w:type="gramStart"/>
      <w:r w:rsidRPr="00810A80">
        <w:rPr>
          <w:rFonts w:cs="Times New Roman"/>
          <w:sz w:val="24"/>
          <w:szCs w:val="24"/>
        </w:rPr>
        <w:t>suadet.---</w:t>
      </w:r>
      <w:proofErr w:type="gramEnd"/>
      <w:r w:rsidRPr="00810A80">
        <w:rPr>
          <w:rFonts w:cs="Times New Roman"/>
          <w:sz w:val="24"/>
          <w:szCs w:val="24"/>
        </w:rPr>
        <w:t xml:space="preserve">Suberat autem omnibus his naturalis adhuc sensus, ut pietatis professionem spes aliqua incorruptae beatitudinis aleret, quam sancta de Deo opinio et boni mores quodam victricis militiae [Col.0031B] stipendio mererentur. … </w:t>
      </w:r>
    </w:p>
    <w:p w14:paraId="119E8EB3" w14:textId="7DD37AC4" w:rsidR="00CB0A61" w:rsidRPr="00810A80" w:rsidRDefault="00CB0A61">
      <w:pPr>
        <w:pStyle w:val="EndnoteText"/>
        <w:rPr>
          <w:rFonts w:cs="Times New Roman"/>
          <w:sz w:val="24"/>
          <w:szCs w:val="24"/>
        </w:rPr>
      </w:pPr>
    </w:p>
  </w:endnote>
  <w:endnote w:id="4">
    <w:p w14:paraId="7449BF3B" w14:textId="72A0FF1F" w:rsidR="00810A80" w:rsidRDefault="00810A80">
      <w:pPr>
        <w:pStyle w:val="EndnoteText"/>
      </w:pPr>
      <w:r>
        <w:rPr>
          <w:rStyle w:val="EndnoteReference"/>
        </w:rPr>
        <w:endnoteRef/>
      </w:r>
      <w:r>
        <w:t xml:space="preserve"> </w:t>
      </w:r>
      <w:r w:rsidRPr="00810A80">
        <w:rPr>
          <w:rFonts w:cs="Times New Roman"/>
          <w:sz w:val="24"/>
          <w:szCs w:val="24"/>
        </w:rPr>
        <w:t xml:space="preserve">Cf. </w:t>
      </w:r>
      <w:r w:rsidRPr="00810A80">
        <w:rPr>
          <w:rFonts w:cs="Times New Roman"/>
          <w:i/>
          <w:iCs/>
          <w:sz w:val="24"/>
          <w:szCs w:val="24"/>
        </w:rPr>
        <w:t>Fasciculus morum</w:t>
      </w:r>
      <w:r w:rsidRPr="00810A80">
        <w:rPr>
          <w:rFonts w:cs="Times New Roman"/>
          <w:sz w:val="24"/>
          <w:szCs w:val="24"/>
        </w:rPr>
        <w:t>1.9 (p. 68):</w:t>
      </w:r>
      <w:r>
        <w:rPr>
          <w:rFonts w:cs="Times New Roman"/>
          <w:sz w:val="24"/>
          <w:szCs w:val="24"/>
        </w:rPr>
        <w:t xml:space="preserve"> In cuius figura, quando filius prodigus bona sua dissipasset vivendo luxuriose, statim ut dixit “Pater, peccavi in celum et coram te,” pater osculatus est eum. Et ideo attende hoc quod dicit Petrus Ravennatensis: “Quare, inquit, moramini in peccatis, quare </w:t>
      </w:r>
      <w:r w:rsidR="004E06F7">
        <w:rPr>
          <w:rFonts w:cs="Times New Roman"/>
          <w:sz w:val="24"/>
          <w:szCs w:val="24"/>
        </w:rPr>
        <w:t>non redimus ad patrem? Non enim dicit pater et iste filio prodigo, ‘Ubi fuisti? Ubi sunt que tecum optulisti?’ Non, ‘Quare tantam gloriam in tantam turpitudinem commutasti?’ Set continuo ait: ‘Proferte stolam primam,’ quia delicta non vidit vis amoris.” Hec ille. Sic ergo faciamus nos cum omnia tempora in malis dissipamus. Redeamus cum humilitate ad Patrem et dicamus sicut ille dixit: “Pater, peccavi in celum et coram te. Iam non sum dignus vocarei filius tuus, sicut Petrus crucifixus, Paulus occisus, Laurencius assatus, Bartholomeus excoriatus; et tamenj mediante tua misericordia permaxima fac me sicut unum de numero salvandorum.”</w:t>
      </w:r>
    </w:p>
    <w:p w14:paraId="007DAAAC" w14:textId="77777777" w:rsidR="00810A80" w:rsidRDefault="00810A80">
      <w:pPr>
        <w:pStyle w:val="EndnoteText"/>
      </w:pPr>
    </w:p>
  </w:endnote>
  <w:endnote w:id="5">
    <w:p w14:paraId="4A82257A" w14:textId="77777777" w:rsidR="00CB0A61" w:rsidRPr="00810A80" w:rsidRDefault="00CB0A61" w:rsidP="00CB0A61">
      <w:pPr>
        <w:pStyle w:val="EndnoteText"/>
        <w:rPr>
          <w:rFonts w:cs="Times New Roman"/>
          <w:sz w:val="24"/>
          <w:szCs w:val="24"/>
        </w:rPr>
      </w:pPr>
      <w:r w:rsidRPr="00810A80">
        <w:rPr>
          <w:rStyle w:val="EndnoteReference"/>
          <w:rFonts w:cs="Times New Roman"/>
          <w:sz w:val="24"/>
          <w:szCs w:val="24"/>
        </w:rPr>
        <w:endnoteRef/>
      </w:r>
      <w:r w:rsidRPr="00810A80">
        <w:rPr>
          <w:rFonts w:cs="Times New Roman"/>
          <w:sz w:val="24"/>
          <w:szCs w:val="24"/>
        </w:rPr>
        <w:t xml:space="preserve"> </w:t>
      </w:r>
      <w:r w:rsidRPr="00810A80">
        <w:rPr>
          <w:rFonts w:cs="Times New Roman"/>
          <w:sz w:val="24"/>
          <w:szCs w:val="24"/>
        </w:rPr>
        <w:t xml:space="preserve">Cf. Peter Chrysologus, </w:t>
      </w:r>
      <w:r w:rsidRPr="00810A80">
        <w:rPr>
          <w:rFonts w:cs="Times New Roman"/>
          <w:i/>
          <w:sz w:val="24"/>
          <w:szCs w:val="24"/>
        </w:rPr>
        <w:t>Sermo</w:t>
      </w:r>
      <w:r w:rsidRPr="00810A80">
        <w:rPr>
          <w:rFonts w:cs="Times New Roman"/>
          <w:sz w:val="24"/>
          <w:szCs w:val="24"/>
        </w:rPr>
        <w:t xml:space="preserve"> 3 (PL 52:193): Cito proferte stolam primam. Pater hic qui in secundis esse non passus est peccatorem, plus de venia quam de justitia gaudium vult habere. Cito proferte stolam primam. Non dixit, unde venis? fuisti ubi? ubi sunt quae tulisti? quare tantam gloriam tanta turpitudine commutasti? sed: Cito proferte stolam primam, et induite illum. Videtis quia delicta non videt vis amoris.</w:t>
      </w:r>
    </w:p>
    <w:p w14:paraId="68C2DBE7" w14:textId="7DE49448" w:rsidR="00CB0A61" w:rsidRPr="00810A80" w:rsidRDefault="00CB0A61">
      <w:pPr>
        <w:pStyle w:val="EndnoteText"/>
        <w:rPr>
          <w:rFonts w:cs="Times New Roman"/>
          <w:sz w:val="24"/>
          <w:szCs w:val="24"/>
        </w:rPr>
      </w:pPr>
    </w:p>
  </w:endnote>
  <w:endnote w:id="6">
    <w:p w14:paraId="2B383FD8" w14:textId="7767477C" w:rsidR="004E06F7" w:rsidRDefault="004E06F7">
      <w:pPr>
        <w:pStyle w:val="EndnoteText"/>
      </w:pPr>
      <w:r>
        <w:rPr>
          <w:rStyle w:val="EndnoteReference"/>
        </w:rPr>
        <w:endnoteRef/>
      </w:r>
      <w:r>
        <w:t xml:space="preserve"> </w:t>
      </w:r>
      <w:r w:rsidRPr="00810A80">
        <w:rPr>
          <w:rFonts w:cs="Times New Roman"/>
          <w:sz w:val="24"/>
          <w:szCs w:val="24"/>
        </w:rPr>
        <w:t xml:space="preserve">Cf. </w:t>
      </w:r>
      <w:r w:rsidRPr="00810A80">
        <w:rPr>
          <w:rFonts w:cs="Times New Roman"/>
          <w:i/>
          <w:iCs/>
          <w:sz w:val="24"/>
          <w:szCs w:val="24"/>
        </w:rPr>
        <w:t>Fasciculus morum</w:t>
      </w:r>
      <w:r w:rsidRPr="00810A80">
        <w:rPr>
          <w:rFonts w:cs="Times New Roman"/>
          <w:sz w:val="24"/>
          <w:szCs w:val="24"/>
        </w:rPr>
        <w:t>1.9 (p. 68):</w:t>
      </w:r>
      <w:r>
        <w:rPr>
          <w:rFonts w:cs="Times New Roman"/>
          <w:sz w:val="24"/>
          <w:szCs w:val="24"/>
        </w:rPr>
        <w:t xml:space="preserve"> Et adverte: Christus enim pater noster benedictus facit ad modum nobilium qui aves suas avolante4s reclamant. ... Unde Osee dicitur: “Effraym quasi avis avolavit.</w:t>
      </w:r>
      <w:r w:rsidR="00814956">
        <w:rPr>
          <w:rFonts w:cs="Times New Roman"/>
          <w:sz w:val="24"/>
          <w:szCs w:val="24"/>
        </w:rPr>
        <w:t>” “Effraym” enim frugifer interpretatur et signateos qui propter habundanciam frugum ac ceterarum rerum temporalium af obsequiis divinis fugiunt.</w:t>
      </w:r>
    </w:p>
    <w:p w14:paraId="7FAC326D" w14:textId="77777777" w:rsidR="004E06F7" w:rsidRDefault="004E06F7">
      <w:pPr>
        <w:pStyle w:val="EndnoteText"/>
      </w:pPr>
    </w:p>
  </w:endnote>
  <w:endnote w:id="7">
    <w:p w14:paraId="1B00041A" w14:textId="0A6C27BB" w:rsidR="00814956" w:rsidRDefault="00814956">
      <w:pPr>
        <w:pStyle w:val="EndnoteText"/>
      </w:pPr>
      <w:r>
        <w:rPr>
          <w:rStyle w:val="EndnoteReference"/>
        </w:rPr>
        <w:endnoteRef/>
      </w:r>
      <w:r>
        <w:t xml:space="preserve"> </w:t>
      </w:r>
      <w:r w:rsidRPr="00810A80">
        <w:rPr>
          <w:rFonts w:cs="Times New Roman"/>
          <w:sz w:val="24"/>
          <w:szCs w:val="24"/>
        </w:rPr>
        <w:t xml:space="preserve">Cf. </w:t>
      </w:r>
      <w:r w:rsidRPr="00810A80">
        <w:rPr>
          <w:rFonts w:cs="Times New Roman"/>
          <w:i/>
          <w:iCs/>
          <w:sz w:val="24"/>
          <w:szCs w:val="24"/>
        </w:rPr>
        <w:t>Fasciculus morum</w:t>
      </w:r>
      <w:r w:rsidRPr="00810A80">
        <w:rPr>
          <w:rFonts w:cs="Times New Roman"/>
          <w:sz w:val="24"/>
          <w:szCs w:val="24"/>
        </w:rPr>
        <w:t>1.9 (p. 68):</w:t>
      </w:r>
      <w:r>
        <w:rPr>
          <w:rFonts w:cs="Times New Roman"/>
          <w:sz w:val="24"/>
          <w:szCs w:val="24"/>
        </w:rPr>
        <w:t xml:space="preserve"> Et ideo consulo quo faciamus sicut pueri faciunt disciplinabiles et discreti, qui cum se senciunt aliquid contra prec epta paterna deliquisse, assumunt sibi virgam et vadunt ad patrem petentes misericordiam, et preparent se totaliter ad disciplinam et patris voluntatem; quod videns pater pietate motus rigorem omnino tollit aut saltem in bona parte compescit.</w:t>
      </w:r>
    </w:p>
    <w:p w14:paraId="1E2C3564" w14:textId="77777777" w:rsidR="00814956" w:rsidRDefault="00814956">
      <w:pPr>
        <w:pStyle w:val="EndnoteText"/>
      </w:pPr>
    </w:p>
  </w:endnote>
  <w:endnote w:id="8">
    <w:p w14:paraId="763289C2" w14:textId="1C21A510" w:rsidR="00CB0A61" w:rsidRPr="00810A80" w:rsidRDefault="00CB0A61">
      <w:pPr>
        <w:pStyle w:val="EndnoteText"/>
        <w:rPr>
          <w:rFonts w:cs="Times New Roman"/>
          <w:sz w:val="24"/>
          <w:szCs w:val="24"/>
        </w:rPr>
      </w:pPr>
      <w:r w:rsidRPr="00810A80">
        <w:rPr>
          <w:rStyle w:val="EndnoteReference"/>
          <w:rFonts w:cs="Times New Roman"/>
          <w:sz w:val="24"/>
          <w:szCs w:val="24"/>
        </w:rPr>
        <w:endnoteRef/>
      </w:r>
      <w:r w:rsidRPr="00810A80">
        <w:rPr>
          <w:rFonts w:cs="Times New Roman"/>
          <w:sz w:val="24"/>
          <w:szCs w:val="24"/>
        </w:rPr>
        <w:t xml:space="preserve"> </w:t>
      </w:r>
      <w:bookmarkStart w:id="2" w:name="_Hlk6308489"/>
      <w:r w:rsidRPr="00810A80">
        <w:rPr>
          <w:rFonts w:cs="Times New Roman"/>
          <w:sz w:val="24"/>
          <w:szCs w:val="24"/>
        </w:rPr>
        <w:t xml:space="preserve">(Pseudo-)Chrysostomus, </w:t>
      </w:r>
      <w:r w:rsidRPr="00810A80">
        <w:rPr>
          <w:rFonts w:cs="Times New Roman"/>
          <w:i/>
          <w:sz w:val="24"/>
          <w:szCs w:val="24"/>
        </w:rPr>
        <w:t>Opus imperfectum in Mattheum</w:t>
      </w:r>
      <w:r w:rsidRPr="00810A80">
        <w:rPr>
          <w:rFonts w:cs="Times New Roman"/>
          <w:sz w:val="24"/>
          <w:szCs w:val="24"/>
        </w:rPr>
        <w:t xml:space="preserve"> Homilia 18 ex cap. 7.10 (PG 56:732-733)</w:t>
      </w:r>
      <w:bookmarkEnd w:id="2"/>
      <w:r w:rsidRPr="00810A80">
        <w:rPr>
          <w:rFonts w:cs="Times New Roman"/>
          <w:sz w:val="24"/>
          <w:szCs w:val="24"/>
        </w:rPr>
        <w:t>: Ideo patrum et filiorum similitudinem introduxit, ut etsi propter peccata nostra desperemus, propter paternam veritatem, bonitatem Dei speremus.</w:t>
      </w:r>
    </w:p>
    <w:p w14:paraId="51C6288F" w14:textId="77777777" w:rsidR="00CB0A61" w:rsidRPr="00810A80" w:rsidRDefault="00CB0A61">
      <w:pPr>
        <w:pStyle w:val="EndnoteText"/>
        <w:rPr>
          <w:rFonts w:cs="Times New Roman"/>
          <w:sz w:val="24"/>
          <w:szCs w:val="24"/>
        </w:rPr>
      </w:pPr>
    </w:p>
  </w:endnote>
  <w:endnote w:id="9">
    <w:p w14:paraId="32FAD079" w14:textId="419A37D2" w:rsidR="00CB0A61" w:rsidRPr="00810A80" w:rsidRDefault="00CB0A61">
      <w:pPr>
        <w:pStyle w:val="EndnoteText"/>
        <w:rPr>
          <w:rFonts w:cs="Times New Roman"/>
          <w:sz w:val="24"/>
          <w:szCs w:val="24"/>
        </w:rPr>
      </w:pPr>
      <w:r w:rsidRPr="00810A80">
        <w:rPr>
          <w:rStyle w:val="EndnoteReference"/>
          <w:rFonts w:cs="Times New Roman"/>
          <w:sz w:val="24"/>
          <w:szCs w:val="24"/>
        </w:rPr>
        <w:endnoteRef/>
      </w:r>
      <w:r w:rsidRPr="00810A80">
        <w:rPr>
          <w:rFonts w:cs="Times New Roman"/>
          <w:sz w:val="24"/>
          <w:szCs w:val="24"/>
        </w:rPr>
        <w:t xml:space="preserve"> </w:t>
      </w:r>
      <w:bookmarkStart w:id="3" w:name="_Hlk6308664"/>
      <w:r w:rsidRPr="00810A80">
        <w:rPr>
          <w:rFonts w:cs="Times New Roman"/>
          <w:sz w:val="24"/>
          <w:szCs w:val="24"/>
        </w:rPr>
        <w:t xml:space="preserve">Gregory, </w:t>
      </w:r>
      <w:r w:rsidRPr="00810A80">
        <w:rPr>
          <w:rFonts w:cs="Times New Roman"/>
          <w:i/>
          <w:sz w:val="24"/>
          <w:szCs w:val="24"/>
        </w:rPr>
        <w:t>Homiliarum Ezechielem</w:t>
      </w:r>
      <w:r w:rsidRPr="00810A80">
        <w:rPr>
          <w:rFonts w:cs="Times New Roman"/>
          <w:sz w:val="24"/>
          <w:szCs w:val="24"/>
        </w:rPr>
        <w:t xml:space="preserve"> 2.9.15 (PL 76:1052)</w:t>
      </w:r>
      <w:bookmarkEnd w:id="3"/>
      <w:r w:rsidRPr="00810A80">
        <w:rPr>
          <w:rFonts w:cs="Times New Roman"/>
          <w:sz w:val="24"/>
          <w:szCs w:val="24"/>
        </w:rPr>
        <w:t>: Pater mi, pater mi, currus Israel et auriga ejus (IV Reg. II, 12). Quid est, fratres charissimi, quod Elias currus Israel et auriga dicitur, nisi quia auriga agitat, currus portat? [Col.1052C] Doctor ergo qui mores populi et per patientiam sustinet, et sacri eloquii verbis docet, et currus dicitur et auriga. Currus, quia tolerando portat; auriga, quia exhortando agitat. Currus, quia mala sustinet; auriga, quia populum bonis admonitionibus exercet.</w:t>
      </w:r>
    </w:p>
    <w:p w14:paraId="545C420A" w14:textId="77777777" w:rsidR="00CB0A61" w:rsidRPr="00810A80" w:rsidRDefault="00CB0A61">
      <w:pPr>
        <w:pStyle w:val="EndnoteText"/>
        <w:rPr>
          <w:rFonts w:cs="Times New Roman"/>
          <w:sz w:val="24"/>
          <w:szCs w:val="24"/>
        </w:rPr>
      </w:pPr>
    </w:p>
  </w:endnote>
  <w:endnote w:id="10">
    <w:p w14:paraId="725E4FCC" w14:textId="77777777" w:rsidR="00CB0A61" w:rsidRPr="00810A80" w:rsidRDefault="00CB0A61" w:rsidP="00CB0A61">
      <w:pPr>
        <w:pStyle w:val="EndnoteText"/>
        <w:rPr>
          <w:rFonts w:cs="Times New Roman"/>
          <w:sz w:val="24"/>
          <w:szCs w:val="24"/>
        </w:rPr>
      </w:pPr>
      <w:r w:rsidRPr="00810A80">
        <w:rPr>
          <w:rStyle w:val="EndnoteReference"/>
          <w:rFonts w:cs="Times New Roman"/>
          <w:sz w:val="24"/>
          <w:szCs w:val="24"/>
        </w:rPr>
        <w:endnoteRef/>
      </w:r>
      <w:r w:rsidRPr="00810A80">
        <w:rPr>
          <w:rFonts w:cs="Times New Roman"/>
          <w:sz w:val="24"/>
          <w:szCs w:val="24"/>
        </w:rPr>
        <w:t xml:space="preserve"> </w:t>
      </w:r>
      <w:r w:rsidRPr="00810A80">
        <w:rPr>
          <w:rFonts w:cs="Times New Roman"/>
          <w:sz w:val="24"/>
          <w:szCs w:val="24"/>
        </w:rPr>
        <w:t xml:space="preserve">Augustine, cf. Chrysostom, </w:t>
      </w:r>
      <w:r w:rsidRPr="00810A80">
        <w:rPr>
          <w:rFonts w:cs="Times New Roman"/>
          <w:i/>
          <w:sz w:val="24"/>
          <w:szCs w:val="24"/>
        </w:rPr>
        <w:t>In symolum Apostolorum expositio</w:t>
      </w:r>
      <w:r w:rsidRPr="00810A80">
        <w:rPr>
          <w:rFonts w:cs="Times New Roman"/>
          <w:sz w:val="24"/>
          <w:szCs w:val="24"/>
        </w:rPr>
        <w:t xml:space="preserve"> homilia 1, </w:t>
      </w:r>
      <w:r w:rsidRPr="00810A80">
        <w:rPr>
          <w:rFonts w:cs="Times New Roman"/>
          <w:i/>
          <w:sz w:val="24"/>
          <w:szCs w:val="24"/>
        </w:rPr>
        <w:t>Opera omnia</w:t>
      </w:r>
      <w:r w:rsidRPr="00810A80">
        <w:rPr>
          <w:rFonts w:cs="Times New Roman"/>
          <w:sz w:val="24"/>
          <w:szCs w:val="24"/>
        </w:rPr>
        <w:t xml:space="preserve"> (Lyon: Joannis Henrici Huguetan, 1687, 5:287b: Ergo credo in Deum patrem omnipotentem. Ecce patrem Deum vocatis. Ad honorem patris venite, mores patris custodite, ejus voluntatem implere, si vultis haereditatem ejus accipere.</w:t>
      </w:r>
    </w:p>
    <w:p w14:paraId="2018C06A" w14:textId="272840F8" w:rsidR="00CB0A61" w:rsidRPr="00810A80" w:rsidRDefault="00CB0A61">
      <w:pPr>
        <w:pStyle w:val="EndnoteText"/>
        <w:rPr>
          <w:rFonts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5380D" w14:textId="77777777" w:rsidR="00A23DCD" w:rsidRDefault="00A23DCD" w:rsidP="00A23DCD">
      <w:pPr>
        <w:spacing w:after="0" w:line="240" w:lineRule="auto"/>
      </w:pPr>
      <w:r>
        <w:separator/>
      </w:r>
    </w:p>
  </w:footnote>
  <w:footnote w:type="continuationSeparator" w:id="0">
    <w:p w14:paraId="2B5FF0CB" w14:textId="77777777" w:rsidR="00A23DCD" w:rsidRDefault="00A23DCD" w:rsidP="00A23D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CDF"/>
    <w:rsid w:val="000922F6"/>
    <w:rsid w:val="001D321C"/>
    <w:rsid w:val="002303A9"/>
    <w:rsid w:val="004C1FAD"/>
    <w:rsid w:val="004E06F7"/>
    <w:rsid w:val="004E2D94"/>
    <w:rsid w:val="00500EF0"/>
    <w:rsid w:val="00770660"/>
    <w:rsid w:val="00810A80"/>
    <w:rsid w:val="00814956"/>
    <w:rsid w:val="00842344"/>
    <w:rsid w:val="0088499E"/>
    <w:rsid w:val="008A4C63"/>
    <w:rsid w:val="008F430C"/>
    <w:rsid w:val="00905CDF"/>
    <w:rsid w:val="009220DE"/>
    <w:rsid w:val="00970E30"/>
    <w:rsid w:val="00A23DCD"/>
    <w:rsid w:val="00AB00FA"/>
    <w:rsid w:val="00B750D4"/>
    <w:rsid w:val="00B9284F"/>
    <w:rsid w:val="00BC1071"/>
    <w:rsid w:val="00CB0A61"/>
    <w:rsid w:val="00D01609"/>
    <w:rsid w:val="00D05A54"/>
    <w:rsid w:val="00D14CA8"/>
    <w:rsid w:val="00D47FEF"/>
    <w:rsid w:val="00DA52E5"/>
    <w:rsid w:val="00DB4055"/>
    <w:rsid w:val="00DC5957"/>
    <w:rsid w:val="00E4609B"/>
    <w:rsid w:val="00F472EF"/>
    <w:rsid w:val="00F54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61EED"/>
  <w15:chartTrackingRefBased/>
  <w15:docId w15:val="{0E59EAFE-C6D7-4DDE-BDED-535CB8468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FootnoteReference"/>
    <w:uiPriority w:val="31"/>
    <w:qFormat/>
    <w:rsid w:val="00F541F6"/>
    <w:rPr>
      <w:rFonts w:ascii="Courier New" w:hAnsi="Courier New"/>
      <w:caps w:val="0"/>
      <w:smallCaps/>
      <w:color w:val="000000" w:themeColor="text1"/>
      <w:sz w:val="24"/>
      <w:u w:val="single"/>
      <w:vertAlign w:val="superscript"/>
    </w:rPr>
  </w:style>
  <w:style w:type="character" w:styleId="FootnoteReference">
    <w:name w:val="footnote reference"/>
    <w:basedOn w:val="DefaultParagraphFont"/>
    <w:uiPriority w:val="99"/>
    <w:semiHidden/>
    <w:unhideWhenUsed/>
    <w:rsid w:val="00F541F6"/>
    <w:rPr>
      <w:vertAlign w:val="superscript"/>
    </w:rPr>
  </w:style>
  <w:style w:type="paragraph" w:styleId="BalloonText">
    <w:name w:val="Balloon Text"/>
    <w:basedOn w:val="Normal"/>
    <w:link w:val="BalloonTextChar"/>
    <w:uiPriority w:val="99"/>
    <w:semiHidden/>
    <w:unhideWhenUsed/>
    <w:rsid w:val="00DC59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957"/>
    <w:rPr>
      <w:rFonts w:ascii="Segoe UI" w:hAnsi="Segoe UI" w:cs="Segoe UI"/>
      <w:sz w:val="18"/>
      <w:szCs w:val="18"/>
    </w:rPr>
  </w:style>
  <w:style w:type="paragraph" w:styleId="EndnoteText">
    <w:name w:val="endnote text"/>
    <w:basedOn w:val="Normal"/>
    <w:link w:val="EndnoteTextChar"/>
    <w:uiPriority w:val="99"/>
    <w:semiHidden/>
    <w:unhideWhenUsed/>
    <w:rsid w:val="00A23D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3DCD"/>
    <w:rPr>
      <w:sz w:val="20"/>
      <w:szCs w:val="20"/>
    </w:rPr>
  </w:style>
  <w:style w:type="character" w:styleId="EndnoteReference">
    <w:name w:val="endnote reference"/>
    <w:basedOn w:val="DefaultParagraphFont"/>
    <w:uiPriority w:val="99"/>
    <w:semiHidden/>
    <w:unhideWhenUsed/>
    <w:rsid w:val="00A23D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CAC10AF-E7A8-41A9-92F6-CBDB0E75E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cp:lastPrinted>2019-04-16T21:08:00Z</cp:lastPrinted>
  <dcterms:created xsi:type="dcterms:W3CDTF">2020-11-20T22:21:00Z</dcterms:created>
  <dcterms:modified xsi:type="dcterms:W3CDTF">2020-11-20T23:36:00Z</dcterms:modified>
</cp:coreProperties>
</file>