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0774" w14:textId="63D7C417" w:rsidR="00B9284F" w:rsidRPr="0001212D" w:rsidRDefault="008C6562" w:rsidP="008C6562">
      <w:pPr>
        <w:spacing w:line="480" w:lineRule="auto"/>
        <w:rPr>
          <w:rFonts w:cs="Times New Roman"/>
        </w:rPr>
      </w:pPr>
      <w:r w:rsidRPr="0001212D">
        <w:rPr>
          <w:rFonts w:cs="Times New Roman"/>
        </w:rPr>
        <w:t xml:space="preserve">274 Little or </w:t>
      </w:r>
      <w:r w:rsidR="004313EE" w:rsidRPr="0001212D">
        <w:rPr>
          <w:rFonts w:cs="Times New Roman"/>
        </w:rPr>
        <w:t>V</w:t>
      </w:r>
      <w:r w:rsidRPr="0001212D">
        <w:rPr>
          <w:rFonts w:cs="Times New Roman"/>
        </w:rPr>
        <w:t xml:space="preserve">ery </w:t>
      </w:r>
      <w:r w:rsidR="004313EE" w:rsidRPr="0001212D">
        <w:rPr>
          <w:rFonts w:cs="Times New Roman"/>
        </w:rPr>
        <w:t>L</w:t>
      </w:r>
      <w:r w:rsidRPr="0001212D">
        <w:rPr>
          <w:rFonts w:cs="Times New Roman"/>
        </w:rPr>
        <w:t>ittle (</w:t>
      </w:r>
      <w:r w:rsidRPr="0001212D">
        <w:rPr>
          <w:rFonts w:cs="Times New Roman"/>
          <w:i/>
        </w:rPr>
        <w:t>Paruus uel paruulus</w:t>
      </w:r>
      <w:r w:rsidRPr="0001212D">
        <w:rPr>
          <w:rFonts w:cs="Times New Roman"/>
        </w:rPr>
        <w:t>)</w:t>
      </w:r>
    </w:p>
    <w:p w14:paraId="532DB825" w14:textId="7667B84F" w:rsidR="00D87A13" w:rsidRPr="0001212D" w:rsidRDefault="008C6562" w:rsidP="008C6562">
      <w:pPr>
        <w:spacing w:line="480" w:lineRule="auto"/>
        <w:rPr>
          <w:rFonts w:cs="Times New Roman"/>
        </w:rPr>
      </w:pPr>
      <w:r w:rsidRPr="0001212D">
        <w:rPr>
          <w:rFonts w:cs="Times New Roman"/>
        </w:rPr>
        <w:t>One is little in years, little in sense, or little in evil.</w:t>
      </w:r>
      <w:r w:rsidR="00D87A13" w:rsidRPr="0001212D">
        <w:rPr>
          <w:rFonts w:cs="Times New Roman"/>
        </w:rPr>
        <w:t xml:space="preserve"> But </w:t>
      </w:r>
      <w:r w:rsidR="00293732" w:rsidRPr="0001212D">
        <w:rPr>
          <w:rFonts w:cs="Times New Roman"/>
        </w:rPr>
        <w:t>also,</w:t>
      </w:r>
      <w:r w:rsidR="00D87A13" w:rsidRPr="0001212D">
        <w:rPr>
          <w:rFonts w:cs="Times New Roman"/>
        </w:rPr>
        <w:t xml:space="preserve"> such ones are acceptable to God, Prov. 9[:4]: “Whosoever is a little one, let him come to me.” And Matt. 18[:3]: “Unless you be converted, and become as little children, you shall not enter into the kingdom of heaven.”</w:t>
      </w:r>
    </w:p>
    <w:p w14:paraId="1BFE3677" w14:textId="77777777" w:rsidR="008C6562" w:rsidRPr="0001212D" w:rsidRDefault="00D87A13" w:rsidP="008C6562">
      <w:pPr>
        <w:spacing w:line="480" w:lineRule="auto"/>
        <w:rPr>
          <w:rFonts w:cs="Times New Roman"/>
        </w:rPr>
      </w:pPr>
      <w:r w:rsidRPr="0001212D">
        <w:rPr>
          <w:rFonts w:cs="Times New Roman"/>
        </w:rPr>
        <w:t>¶ For literally a little one can enter where a large one cannot, particularly where the entry is narrow.</w:t>
      </w:r>
      <w:r w:rsidR="00761138" w:rsidRPr="0001212D">
        <w:rPr>
          <w:rFonts w:cs="Times New Roman"/>
        </w:rPr>
        <w:t xml:space="preserve"> Wherefore 1 Kings 15[:17], it was said to Saul: “When you were a little one in your own eyes, were you not made the head of the tribes of Israel?” And God gave to Solomon as a child wisdom, riches, and glory, 3 Kings 3[:7]: “I am but a child, and know not how to go out and come in.” And Matt. 18[:2]: “</w:t>
      </w:r>
      <w:r w:rsidR="00492CD3" w:rsidRPr="0001212D">
        <w:rPr>
          <w:rFonts w:cs="Times New Roman"/>
        </w:rPr>
        <w:t>And Jesus calling unto him a little child, set him in the midst of them.”</w:t>
      </w:r>
    </w:p>
    <w:p w14:paraId="027C309A" w14:textId="77777777" w:rsidR="00492CD3" w:rsidRPr="0001212D" w:rsidRDefault="00492CD3" w:rsidP="008C6562">
      <w:pPr>
        <w:spacing w:line="480" w:lineRule="auto"/>
        <w:rPr>
          <w:rFonts w:cs="Times New Roman"/>
        </w:rPr>
      </w:pPr>
      <w:r w:rsidRPr="0001212D">
        <w:rPr>
          <w:rFonts w:cs="Times New Roman"/>
        </w:rPr>
        <w:t xml:space="preserve">¶ Again, Luke 10[:21]: “You have hidden these things from the wise and </w:t>
      </w:r>
      <w:r w:rsidR="00293732" w:rsidRPr="0001212D">
        <w:rPr>
          <w:rFonts w:cs="Times New Roman"/>
        </w:rPr>
        <w:t>prudent and</w:t>
      </w:r>
      <w:r w:rsidRPr="0001212D">
        <w:rPr>
          <w:rFonts w:cs="Times New Roman"/>
        </w:rPr>
        <w:t xml:space="preserve"> have revealed them to little ones.” And in the Psal. [18:8]: “Giving wisdom to little ones.”</w:t>
      </w:r>
    </w:p>
    <w:p w14:paraId="71612E5A" w14:textId="77777777" w:rsidR="00492CD3" w:rsidRPr="0001212D" w:rsidRDefault="00492CD3" w:rsidP="008C6562">
      <w:pPr>
        <w:spacing w:line="480" w:lineRule="auto"/>
        <w:rPr>
          <w:rFonts w:cs="Times New Roman"/>
        </w:rPr>
      </w:pPr>
      <w:r w:rsidRPr="0001212D">
        <w:rPr>
          <w:rFonts w:cs="Times New Roman"/>
        </w:rPr>
        <w:t xml:space="preserve">Again, </w:t>
      </w:r>
      <w:r w:rsidR="00F30126" w:rsidRPr="0001212D">
        <w:rPr>
          <w:rFonts w:cs="Times New Roman"/>
        </w:rPr>
        <w:t xml:space="preserve">unless a circle were small, it would not profit to be inserted in another material. </w:t>
      </w:r>
      <w:r w:rsidR="00293732" w:rsidRPr="0001212D">
        <w:rPr>
          <w:rFonts w:cs="Times New Roman"/>
        </w:rPr>
        <w:t>So,</w:t>
      </w:r>
      <w:r w:rsidR="00F30126" w:rsidRPr="0001212D">
        <w:rPr>
          <w:rFonts w:cs="Times New Roman"/>
        </w:rPr>
        <w:t xml:space="preserve"> it was said concerning David, 1 Kings 16[:11]: “There remains yet a young one, who keeps the sheep.”</w:t>
      </w:r>
    </w:p>
    <w:p w14:paraId="383C2B8F" w14:textId="1AC60B0E" w:rsidR="00F30126" w:rsidRPr="0001212D" w:rsidRDefault="00F30126" w:rsidP="008C6562">
      <w:pPr>
        <w:spacing w:line="480" w:lineRule="auto"/>
        <w:rPr>
          <w:rFonts w:cs="Times New Roman"/>
        </w:rPr>
      </w:pPr>
      <w:r w:rsidRPr="0001212D">
        <w:rPr>
          <w:rFonts w:cs="Times New Roman"/>
        </w:rPr>
        <w:t>¶</w:t>
      </w:r>
      <w:r w:rsidR="007512C8" w:rsidRPr="0001212D">
        <w:rPr>
          <w:rFonts w:cs="Times New Roman"/>
        </w:rPr>
        <w:t xml:space="preserve"> The figure</w:t>
      </w:r>
      <w:r w:rsidRPr="0001212D">
        <w:rPr>
          <w:rFonts w:cs="Times New Roman"/>
        </w:rPr>
        <w:t xml:space="preserve"> is in 4 Kings 4</w:t>
      </w:r>
      <w:r w:rsidR="005B1ECC" w:rsidRPr="0001212D">
        <w:rPr>
          <w:rFonts w:cs="Times New Roman"/>
        </w:rPr>
        <w:t>[</w:t>
      </w:r>
      <w:r w:rsidRPr="0001212D">
        <w:rPr>
          <w:rFonts w:cs="Times New Roman"/>
        </w:rPr>
        <w:t xml:space="preserve">:2], when the woman had nothing except a little oil and poured it in her vase, it filled </w:t>
      </w:r>
      <w:r w:rsidR="00293732" w:rsidRPr="0001212D">
        <w:rPr>
          <w:rFonts w:cs="Times New Roman"/>
        </w:rPr>
        <w:t>everything</w:t>
      </w:r>
      <w:r w:rsidRPr="0001212D">
        <w:rPr>
          <w:rFonts w:cs="Times New Roman"/>
        </w:rPr>
        <w:t xml:space="preserve">. Wherefore the Philosopher, 7, </w:t>
      </w:r>
      <w:r w:rsidRPr="0001212D">
        <w:rPr>
          <w:rFonts w:cs="Times New Roman"/>
          <w:i/>
        </w:rPr>
        <w:t>De animalibus</w:t>
      </w:r>
      <w:r w:rsidR="0001212D" w:rsidRPr="0001212D">
        <w:rPr>
          <w:rFonts w:cs="Times New Roman"/>
          <w:iCs/>
        </w:rPr>
        <w:t>,</w:t>
      </w:r>
      <w:r w:rsidR="0001212D" w:rsidRPr="0001212D">
        <w:rPr>
          <w:rStyle w:val="EndnoteReference"/>
          <w:rFonts w:cs="Times New Roman"/>
          <w:iCs/>
        </w:rPr>
        <w:endnoteReference w:id="1"/>
      </w:r>
      <w:r w:rsidRPr="0001212D">
        <w:rPr>
          <w:rFonts w:cs="Times New Roman"/>
        </w:rPr>
        <w:t xml:space="preserve"> that small animals are </w:t>
      </w:r>
      <w:r w:rsidR="005B1ECC" w:rsidRPr="0001212D">
        <w:rPr>
          <w:rFonts w:cs="Times New Roman"/>
        </w:rPr>
        <w:t xml:space="preserve">more </w:t>
      </w:r>
      <w:r w:rsidRPr="0001212D">
        <w:rPr>
          <w:rFonts w:cs="Times New Roman"/>
        </w:rPr>
        <w:t>fertile</w:t>
      </w:r>
      <w:r w:rsidR="005B1ECC" w:rsidRPr="0001212D">
        <w:rPr>
          <w:rFonts w:cs="Times New Roman"/>
        </w:rPr>
        <w:t xml:space="preserve"> and</w:t>
      </w:r>
      <w:r w:rsidRPr="0001212D">
        <w:rPr>
          <w:rFonts w:cs="Times New Roman"/>
        </w:rPr>
        <w:t xml:space="preserve"> more generative than in the large ones. </w:t>
      </w:r>
      <w:r w:rsidR="0001212D" w:rsidRPr="0001212D">
        <w:rPr>
          <w:rFonts w:cs="Times New Roman"/>
        </w:rPr>
        <w:t>So,</w:t>
      </w:r>
      <w:r w:rsidRPr="0001212D">
        <w:rPr>
          <w:rFonts w:cs="Times New Roman"/>
        </w:rPr>
        <w:t xml:space="preserve"> </w:t>
      </w:r>
      <w:r w:rsidR="005B1ECC" w:rsidRPr="0001212D">
        <w:rPr>
          <w:rFonts w:cs="Times New Roman"/>
        </w:rPr>
        <w:t xml:space="preserve">the </w:t>
      </w:r>
      <w:r w:rsidRPr="0001212D">
        <w:rPr>
          <w:rFonts w:cs="Times New Roman"/>
        </w:rPr>
        <w:t xml:space="preserve">small and humble are </w:t>
      </w:r>
      <w:r w:rsidR="005B1ECC" w:rsidRPr="0001212D">
        <w:rPr>
          <w:rFonts w:cs="Times New Roman"/>
        </w:rPr>
        <w:t>m</w:t>
      </w:r>
      <w:r w:rsidRPr="0001212D">
        <w:rPr>
          <w:rFonts w:cs="Times New Roman"/>
        </w:rPr>
        <w:t>ore fertile than large ones.</w:t>
      </w:r>
    </w:p>
    <w:sectPr w:rsidR="00F30126" w:rsidRPr="0001212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62A80" w14:textId="77777777" w:rsidR="0001212D" w:rsidRDefault="0001212D" w:rsidP="0001212D">
      <w:pPr>
        <w:spacing w:after="0" w:line="240" w:lineRule="auto"/>
      </w:pPr>
      <w:r>
        <w:separator/>
      </w:r>
    </w:p>
  </w:endnote>
  <w:endnote w:type="continuationSeparator" w:id="0">
    <w:p w14:paraId="6C8A8389" w14:textId="77777777" w:rsidR="0001212D" w:rsidRDefault="0001212D" w:rsidP="0001212D">
      <w:pPr>
        <w:spacing w:after="0" w:line="240" w:lineRule="auto"/>
      </w:pPr>
      <w:r>
        <w:continuationSeparator/>
      </w:r>
    </w:p>
  </w:endnote>
  <w:endnote w:id="1">
    <w:p w14:paraId="0F8C26A0" w14:textId="0D0E68C1" w:rsidR="0001212D" w:rsidRPr="0001212D" w:rsidRDefault="0001212D" w:rsidP="0001212D">
      <w:pPr>
        <w:pStyle w:val="EndnoteText"/>
        <w:rPr>
          <w:rFonts w:cs="Times New Roman"/>
          <w:sz w:val="24"/>
          <w:szCs w:val="24"/>
        </w:rPr>
      </w:pPr>
      <w:r w:rsidRPr="0001212D">
        <w:rPr>
          <w:rStyle w:val="EndnoteReference"/>
          <w:rFonts w:cs="Times New Roman"/>
          <w:sz w:val="24"/>
          <w:szCs w:val="24"/>
        </w:rPr>
        <w:endnoteRef/>
      </w:r>
      <w:r w:rsidRPr="0001212D">
        <w:rPr>
          <w:rFonts w:cs="Times New Roman"/>
          <w:sz w:val="24"/>
          <w:szCs w:val="24"/>
        </w:rPr>
        <w:t xml:space="preserve"> </w:t>
      </w:r>
      <w:bookmarkStart w:id="0" w:name="_Hlk6231680"/>
      <w:r w:rsidRPr="0001212D">
        <w:rPr>
          <w:rFonts w:cs="Times New Roman"/>
          <w:sz w:val="24"/>
          <w:szCs w:val="24"/>
        </w:rPr>
        <w:t>Ari</w:t>
      </w:r>
      <w:r>
        <w:rPr>
          <w:rFonts w:cs="Times New Roman"/>
          <w:sz w:val="24"/>
          <w:szCs w:val="24"/>
        </w:rPr>
        <w:t>s</w:t>
      </w:r>
      <w:bookmarkStart w:id="1" w:name="_GoBack"/>
      <w:bookmarkEnd w:id="1"/>
      <w:r w:rsidRPr="0001212D">
        <w:rPr>
          <w:rFonts w:cs="Times New Roman"/>
          <w:sz w:val="24"/>
          <w:szCs w:val="24"/>
        </w:rPr>
        <w:t xml:space="preserve">totle, </w:t>
      </w:r>
      <w:r w:rsidRPr="0001212D">
        <w:rPr>
          <w:rFonts w:cs="Times New Roman"/>
          <w:i/>
          <w:sz w:val="24"/>
          <w:szCs w:val="24"/>
        </w:rPr>
        <w:t>The History of Animals</w:t>
      </w:r>
      <w:r w:rsidRPr="0001212D">
        <w:rPr>
          <w:rFonts w:cs="Times New Roman"/>
          <w:sz w:val="24"/>
          <w:szCs w:val="24"/>
        </w:rPr>
        <w:t xml:space="preserve"> 7.1 582a19-22 (Barnes 1:912)</w:t>
      </w:r>
      <w:bookmarkEnd w:id="0"/>
      <w:r w:rsidRPr="0001212D">
        <w:rPr>
          <w:rFonts w:cs="Times New Roman"/>
          <w:sz w:val="24"/>
          <w:szCs w:val="24"/>
        </w:rPr>
        <w:t xml:space="preserve">: but young men and women produce undersized and imperfect progeny, as is the case also with the common run of animals. Young women conceive readily, but, having conceived, their </w:t>
      </w:r>
      <w:r w:rsidRPr="0001212D">
        <w:rPr>
          <w:rFonts w:cs="Times New Roman"/>
          <w:sz w:val="24"/>
          <w:szCs w:val="24"/>
        </w:rPr>
        <w:t>labor</w:t>
      </w:r>
      <w:r w:rsidRPr="0001212D">
        <w:rPr>
          <w:rFonts w:cs="Times New Roman"/>
          <w:sz w:val="24"/>
          <w:szCs w:val="24"/>
        </w:rPr>
        <w:t xml:space="preserve"> in childbed is apt to be difficult.</w:t>
      </w:r>
    </w:p>
    <w:p w14:paraId="35C68E9F" w14:textId="0EB29169" w:rsidR="0001212D" w:rsidRPr="0001212D" w:rsidRDefault="0001212D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F551E" w14:textId="77777777" w:rsidR="0001212D" w:rsidRDefault="0001212D" w:rsidP="0001212D">
      <w:pPr>
        <w:spacing w:after="0" w:line="240" w:lineRule="auto"/>
      </w:pPr>
      <w:r>
        <w:separator/>
      </w:r>
    </w:p>
  </w:footnote>
  <w:footnote w:type="continuationSeparator" w:id="0">
    <w:p w14:paraId="6D77FF76" w14:textId="77777777" w:rsidR="0001212D" w:rsidRDefault="0001212D" w:rsidP="00012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62"/>
    <w:rsid w:val="0001212D"/>
    <w:rsid w:val="00264C71"/>
    <w:rsid w:val="00293732"/>
    <w:rsid w:val="004313EE"/>
    <w:rsid w:val="00492CD3"/>
    <w:rsid w:val="005B1ECC"/>
    <w:rsid w:val="00685677"/>
    <w:rsid w:val="007512C8"/>
    <w:rsid w:val="00761138"/>
    <w:rsid w:val="008C6562"/>
    <w:rsid w:val="00A3159B"/>
    <w:rsid w:val="00B9284F"/>
    <w:rsid w:val="00D87A13"/>
    <w:rsid w:val="00E73E99"/>
    <w:rsid w:val="00F30126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4079"/>
  <w15:chartTrackingRefBased/>
  <w15:docId w15:val="{A46D5DFF-C3E3-4EA5-9BB4-012CC16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9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21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21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2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445C309-4305-4216-941B-80DD9200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2019-04-15T19:49:00Z</cp:lastPrinted>
  <dcterms:created xsi:type="dcterms:W3CDTF">2020-11-16T22:13:00Z</dcterms:created>
  <dcterms:modified xsi:type="dcterms:W3CDTF">2020-11-16T22:29:00Z</dcterms:modified>
</cp:coreProperties>
</file>