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19C4" w14:textId="77777777" w:rsidR="00B9284F" w:rsidRPr="004C3E04" w:rsidRDefault="009F6B7A" w:rsidP="009F6B7A">
      <w:pPr>
        <w:spacing w:line="480" w:lineRule="auto"/>
        <w:rPr>
          <w:rFonts w:cs="Times New Roman"/>
        </w:rPr>
      </w:pPr>
      <w:r w:rsidRPr="004C3E04">
        <w:rPr>
          <w:rFonts w:cs="Times New Roman"/>
        </w:rPr>
        <w:t>265 Garden (</w:t>
      </w:r>
      <w:r w:rsidRPr="004C3E04">
        <w:rPr>
          <w:rFonts w:cs="Times New Roman"/>
          <w:i/>
        </w:rPr>
        <w:t>[H]ortus</w:t>
      </w:r>
      <w:r w:rsidRPr="004C3E04">
        <w:rPr>
          <w:rFonts w:cs="Times New Roman"/>
        </w:rPr>
        <w:t>)</w:t>
      </w:r>
    </w:p>
    <w:p w14:paraId="2BC24893" w14:textId="669067E7" w:rsidR="009F6B7A" w:rsidRPr="004C3E04" w:rsidRDefault="009F6B7A" w:rsidP="009F6B7A">
      <w:pPr>
        <w:spacing w:line="480" w:lineRule="auto"/>
        <w:rPr>
          <w:rFonts w:cs="Times New Roman"/>
        </w:rPr>
      </w:pPr>
      <w:r w:rsidRPr="004C3E04">
        <w:rPr>
          <w:rFonts w:cs="Times New Roman"/>
        </w:rPr>
        <w:t xml:space="preserve">According to Isidore, </w:t>
      </w:r>
      <w:r w:rsidRPr="004C3E04">
        <w:rPr>
          <w:rFonts w:cs="Times New Roman"/>
          <w:i/>
        </w:rPr>
        <w:t>Etymologiae</w:t>
      </w:r>
      <w:r w:rsidRPr="004C3E04">
        <w:rPr>
          <w:rFonts w:cs="Times New Roman"/>
        </w:rPr>
        <w:t>, book 17,</w:t>
      </w:r>
      <w:r w:rsidR="003E4944" w:rsidRPr="004C3E04">
        <w:rPr>
          <w:rStyle w:val="EndnoteReference"/>
          <w:rFonts w:cs="Times New Roman"/>
        </w:rPr>
        <w:endnoteReference w:id="1"/>
      </w:r>
      <w:r w:rsidRPr="004C3E04">
        <w:rPr>
          <w:rFonts w:cs="Times New Roman"/>
        </w:rPr>
        <w:t xml:space="preserve"> a garden (</w:t>
      </w:r>
      <w:r w:rsidRPr="004C3E04">
        <w:rPr>
          <w:rFonts w:cs="Times New Roman"/>
          <w:i/>
        </w:rPr>
        <w:t>hortus</w:t>
      </w:r>
      <w:r w:rsidRPr="004C3E04">
        <w:rPr>
          <w:rFonts w:cs="Times New Roman"/>
        </w:rPr>
        <w:t>) is so called because in some degree it grows (</w:t>
      </w:r>
      <w:r w:rsidRPr="004C3E04">
        <w:rPr>
          <w:rFonts w:cs="Times New Roman"/>
          <w:i/>
        </w:rPr>
        <w:t>oriatur</w:t>
      </w:r>
      <w:r w:rsidRPr="004C3E04">
        <w:rPr>
          <w:rFonts w:cs="Times New Roman"/>
        </w:rPr>
        <w:t>), but in the woods it is not so. In the Church</w:t>
      </w:r>
      <w:r w:rsidR="00F618D5" w:rsidRPr="004C3E04">
        <w:rPr>
          <w:rStyle w:val="EndnoteReference"/>
          <w:rFonts w:cs="Times New Roman"/>
        </w:rPr>
        <w:endnoteReference w:id="2"/>
      </w:r>
      <w:r w:rsidRPr="004C3E04">
        <w:rPr>
          <w:rFonts w:cs="Times New Roman"/>
        </w:rPr>
        <w:t xml:space="preserve"> which is the garden of Christ</w:t>
      </w:r>
      <w:r w:rsidR="00C2532C" w:rsidRPr="004C3E04">
        <w:rPr>
          <w:rFonts w:cs="Times New Roman"/>
        </w:rPr>
        <w:t xml:space="preserve"> there are useful trees and useless ones, but in the churches of the heretics which are like waste woods nothing grows, that is, no one good. Wherefore it is to be noted that a garden di</w:t>
      </w:r>
      <w:r w:rsidR="00D337F6" w:rsidRPr="004C3E04">
        <w:rPr>
          <w:rFonts w:cs="Times New Roman"/>
        </w:rPr>
        <w:t>ffers in three ways from a field</w:t>
      </w:r>
      <w:r w:rsidR="00C2532C" w:rsidRPr="004C3E04">
        <w:rPr>
          <w:rFonts w:cs="Times New Roman"/>
        </w:rPr>
        <w:t xml:space="preserve">. </w:t>
      </w:r>
      <w:r w:rsidR="00D337F6" w:rsidRPr="004C3E04">
        <w:rPr>
          <w:rFonts w:cs="Times New Roman"/>
        </w:rPr>
        <w:t xml:space="preserve">First because a garden is enclosed. Second because it is cultivated. Third because it is placed near to the house. </w:t>
      </w:r>
      <w:r w:rsidR="008D1EC5" w:rsidRPr="004C3E04">
        <w:rPr>
          <w:rFonts w:cs="Times New Roman"/>
        </w:rPr>
        <w:t>So,</w:t>
      </w:r>
      <w:r w:rsidR="00D337F6" w:rsidRPr="004C3E04">
        <w:rPr>
          <w:rFonts w:cs="Times New Roman"/>
        </w:rPr>
        <w:t xml:space="preserve"> the Church for the religious or the faithful soul is </w:t>
      </w:r>
      <w:r w:rsidR="00CE49DE" w:rsidRPr="004C3E04">
        <w:rPr>
          <w:rFonts w:cs="Times New Roman"/>
        </w:rPr>
        <w:t>enclosed by certain observances, it is cultivated by good exercises.</w:t>
      </w:r>
    </w:p>
    <w:p w14:paraId="5766F71C" w14:textId="6E429EAA" w:rsidR="007B608A" w:rsidRPr="004C3E04" w:rsidRDefault="00CE49DE" w:rsidP="00600C7A">
      <w:pPr>
        <w:spacing w:line="480" w:lineRule="auto"/>
        <w:rPr>
          <w:rFonts w:cs="Times New Roman"/>
        </w:rPr>
      </w:pPr>
      <w:r w:rsidRPr="004C3E04">
        <w:rPr>
          <w:rFonts w:cs="Times New Roman"/>
        </w:rPr>
        <w:t>Concerning the first, Can. 4[:12]: “My sister is a garden enclosed, a garden, a fountain sealed up.” The prudent gardener encloses his seat, the penance is the demon drawing near. Wherefore it is said, Luke 13[:18-19]: “To what is the kingdom of God like, It is like to a grain of mustard seed, which a man took and cast into his garden.</w:t>
      </w:r>
      <w:r w:rsidR="00600C7A" w:rsidRPr="004C3E04">
        <w:rPr>
          <w:rFonts w:cs="Times New Roman"/>
        </w:rPr>
        <w:t xml:space="preserve">” The mustard seed has a sting and it is bitter. </w:t>
      </w:r>
      <w:r w:rsidR="008D1EC5" w:rsidRPr="004C3E04">
        <w:rPr>
          <w:rFonts w:cs="Times New Roman"/>
        </w:rPr>
        <w:t>Therefore,</w:t>
      </w:r>
      <w:r w:rsidR="00600C7A" w:rsidRPr="004C3E04">
        <w:rPr>
          <w:rFonts w:cs="Times New Roman"/>
        </w:rPr>
        <w:t xml:space="preserve"> the kingdom of heaven is compared to that be</w:t>
      </w:r>
      <w:r w:rsidR="00B41ACF" w:rsidRPr="004C3E04">
        <w:rPr>
          <w:rFonts w:cs="Times New Roman"/>
        </w:rPr>
        <w:t>cause by stings and bitterness</w:t>
      </w:r>
      <w:r w:rsidR="00600C7A" w:rsidRPr="004C3E04">
        <w:rPr>
          <w:rFonts w:cs="Times New Roman"/>
        </w:rPr>
        <w:t xml:space="preserve"> the penitents are turned to that letter of </w:t>
      </w:r>
      <w:r w:rsidR="008D1EC5" w:rsidRPr="004C3E04">
        <w:rPr>
          <w:rFonts w:cs="Times New Roman"/>
        </w:rPr>
        <w:t>Palladium</w:t>
      </w:r>
      <w:r w:rsidR="00600C7A" w:rsidRPr="004C3E04">
        <w:rPr>
          <w:rFonts w:cs="Times New Roman"/>
        </w:rPr>
        <w:t xml:space="preserve">, </w:t>
      </w:r>
      <w:r w:rsidR="00600C7A" w:rsidRPr="004C3E04">
        <w:rPr>
          <w:rFonts w:cs="Times New Roman"/>
          <w:i/>
        </w:rPr>
        <w:t>De agricultura</w:t>
      </w:r>
      <w:r w:rsidR="00600C7A" w:rsidRPr="004C3E04">
        <w:rPr>
          <w:rFonts w:cs="Times New Roman"/>
        </w:rPr>
        <w:t>, book 24,</w:t>
      </w:r>
      <w:r w:rsidR="003E4944" w:rsidRPr="004C3E04">
        <w:rPr>
          <w:rStyle w:val="EndnoteReference"/>
          <w:rFonts w:cs="Times New Roman"/>
        </w:rPr>
        <w:endnoteReference w:id="3"/>
      </w:r>
      <w:r w:rsidR="00600C7A" w:rsidRPr="004C3E04">
        <w:rPr>
          <w:rFonts w:cs="Times New Roman"/>
        </w:rPr>
        <w:t xml:space="preserve"> he teaches that a garden ought to be enclosed by dense and sharp thorns which prohibit the entry of harm</w:t>
      </w:r>
      <w:r w:rsidR="00A94715" w:rsidRPr="004C3E04">
        <w:rPr>
          <w:rFonts w:cs="Times New Roman"/>
        </w:rPr>
        <w:t>ful creatures</w:t>
      </w:r>
      <w:r w:rsidR="00600C7A" w:rsidRPr="004C3E04">
        <w:rPr>
          <w:rFonts w:cs="Times New Roman"/>
        </w:rPr>
        <w:t xml:space="preserve">. But the soul ought to be enclosed about </w:t>
      </w:r>
      <w:r w:rsidR="001E6519" w:rsidRPr="004C3E04">
        <w:rPr>
          <w:rFonts w:cs="Times New Roman"/>
        </w:rPr>
        <w:t xml:space="preserve">by penance, </w:t>
      </w:r>
      <w:r w:rsidR="00A94715" w:rsidRPr="004C3E04">
        <w:rPr>
          <w:rFonts w:cs="Times New Roman"/>
        </w:rPr>
        <w:t>and</w:t>
      </w:r>
      <w:r w:rsidR="001E6519" w:rsidRPr="004C3E04">
        <w:rPr>
          <w:rFonts w:cs="Times New Roman"/>
        </w:rPr>
        <w:t xml:space="preserve"> it is another thorn which does not prohibit the entry of sin, Bar. 7[:70]: “They are no better than a white thorn</w:t>
      </w:r>
      <w:r w:rsidR="00B41ACF" w:rsidRPr="004C3E04">
        <w:rPr>
          <w:rFonts w:cs="Times New Roman"/>
        </w:rPr>
        <w:t>, upon which every bird sits</w:t>
      </w:r>
      <w:r w:rsidR="001E6519" w:rsidRPr="004C3E04">
        <w:rPr>
          <w:rFonts w:cs="Times New Roman"/>
        </w:rPr>
        <w:t xml:space="preserve">.” </w:t>
      </w:r>
      <w:r w:rsidR="008D1EC5" w:rsidRPr="004C3E04">
        <w:rPr>
          <w:rFonts w:cs="Times New Roman"/>
        </w:rPr>
        <w:t>So,</w:t>
      </w:r>
      <w:r w:rsidR="001E6519" w:rsidRPr="004C3E04">
        <w:rPr>
          <w:rFonts w:cs="Times New Roman"/>
        </w:rPr>
        <w:t xml:space="preserve"> upon a white thorn soft penances sit, thoughts and unclean spirits and build their nests. But just as it happens in gardens because the bird makes a ne</w:t>
      </w:r>
      <w:r w:rsidR="00A94715" w:rsidRPr="004C3E04">
        <w:rPr>
          <w:rFonts w:cs="Times New Roman"/>
        </w:rPr>
        <w:t>s</w:t>
      </w:r>
      <w:r w:rsidR="001E6519" w:rsidRPr="004C3E04">
        <w:rPr>
          <w:rFonts w:cs="Times New Roman"/>
        </w:rPr>
        <w:t xml:space="preserve">t and it does not appear until the leaves of the trees fall, so in many persons the devil builds a </w:t>
      </w:r>
      <w:r w:rsidR="008D1EC5" w:rsidRPr="004C3E04">
        <w:rPr>
          <w:rFonts w:cs="Times New Roman"/>
        </w:rPr>
        <w:t>nest,</w:t>
      </w:r>
      <w:r w:rsidR="001E6519" w:rsidRPr="004C3E04">
        <w:rPr>
          <w:rFonts w:cs="Times New Roman"/>
        </w:rPr>
        <w:t xml:space="preserve"> but it does not appear until the glory of the flesh falls toward the day of judgment, Isai. 1[:29]: “</w:t>
      </w:r>
      <w:r w:rsidR="007B608A" w:rsidRPr="004C3E04">
        <w:rPr>
          <w:rFonts w:cs="Times New Roman"/>
        </w:rPr>
        <w:t>You shall be ashamed of the gardens which you have chosen.”</w:t>
      </w:r>
    </w:p>
    <w:p w14:paraId="2422C07F" w14:textId="77067898" w:rsidR="00600C7A" w:rsidRPr="004C3E04" w:rsidRDefault="007B608A" w:rsidP="00AE03FA">
      <w:pPr>
        <w:spacing w:line="480" w:lineRule="auto"/>
        <w:rPr>
          <w:rFonts w:cs="Times New Roman"/>
        </w:rPr>
      </w:pPr>
      <w:r w:rsidRPr="004C3E04">
        <w:rPr>
          <w:rFonts w:cs="Times New Roman"/>
        </w:rPr>
        <w:lastRenderedPageBreak/>
        <w:t xml:space="preserve">¶ Concerning the second, Bernard says </w:t>
      </w:r>
      <w:r w:rsidRPr="004C3E04">
        <w:rPr>
          <w:rFonts w:cs="Times New Roman"/>
          <w:i/>
        </w:rPr>
        <w:t>Super Cantica</w:t>
      </w:r>
      <w:r w:rsidRPr="004C3E04">
        <w:rPr>
          <w:rFonts w:cs="Times New Roman"/>
        </w:rPr>
        <w:t>, homily 47,</w:t>
      </w:r>
      <w:r w:rsidR="003E4944" w:rsidRPr="004C3E04">
        <w:rPr>
          <w:rStyle w:val="EndnoteReference"/>
          <w:rFonts w:cs="Times New Roman"/>
        </w:rPr>
        <w:endnoteReference w:id="4"/>
      </w:r>
      <w:r w:rsidR="00B41ACF" w:rsidRPr="004C3E04">
        <w:rPr>
          <w:rFonts w:cs="Times New Roman"/>
        </w:rPr>
        <w:t xml:space="preserve"> a field</w:t>
      </w:r>
      <w:r w:rsidR="00AE03FA" w:rsidRPr="004C3E04">
        <w:rPr>
          <w:rFonts w:cs="Times New Roman"/>
        </w:rPr>
        <w:t xml:space="preserve"> and a garden flower for this reason, it is cultivated by the human hand and skill. </w:t>
      </w:r>
      <w:r w:rsidR="008D1EC5" w:rsidRPr="004C3E04">
        <w:rPr>
          <w:rFonts w:cs="Times New Roman"/>
        </w:rPr>
        <w:t>So,</w:t>
      </w:r>
      <w:r w:rsidR="00AE03FA" w:rsidRPr="004C3E04">
        <w:rPr>
          <w:rFonts w:cs="Times New Roman"/>
        </w:rPr>
        <w:t xml:space="preserve"> it is common that after the world it will flower without the </w:t>
      </w:r>
      <w:r w:rsidR="00B41ACF" w:rsidRPr="004C3E04">
        <w:rPr>
          <w:rFonts w:cs="Times New Roman"/>
        </w:rPr>
        <w:t>exercise</w:t>
      </w:r>
      <w:r w:rsidR="00AE03FA" w:rsidRPr="004C3E04">
        <w:rPr>
          <w:rFonts w:cs="Times New Roman"/>
        </w:rPr>
        <w:t xml:space="preserve"> of good works, but the garden of the Church does not flower without labors of good cultivations. </w:t>
      </w:r>
      <w:r w:rsidR="008D1EC5" w:rsidRPr="004C3E04">
        <w:rPr>
          <w:rFonts w:cs="Times New Roman"/>
        </w:rPr>
        <w:t>Therefore,</w:t>
      </w:r>
      <w:r w:rsidR="00AE03FA" w:rsidRPr="004C3E04">
        <w:rPr>
          <w:rFonts w:cs="Times New Roman"/>
        </w:rPr>
        <w:t xml:space="preserve"> it is said in Jer. 31[:12]: “Their soul shall be as a watered garden.” For this spares the cultivation of the garden so that it may be watered, Eccli. 24[:42]: “</w:t>
      </w:r>
      <w:r w:rsidR="00781D3A" w:rsidRPr="004C3E04">
        <w:rPr>
          <w:rFonts w:cs="Times New Roman"/>
        </w:rPr>
        <w:t>I will water my garden of plants, and I will water abundantly the fruits of my meadow.” And Num. 24[:5] it is said “How beautiful are your tabernacles, O Jacob,” as gardens next to the rivers watering the poor who have</w:t>
      </w:r>
      <w:r w:rsidR="006D44CE" w:rsidRPr="004C3E04">
        <w:rPr>
          <w:rFonts w:cs="Times New Roman"/>
        </w:rPr>
        <w:t xml:space="preserve"> nothing</w:t>
      </w:r>
      <w:r w:rsidR="00781D3A" w:rsidRPr="004C3E04">
        <w:rPr>
          <w:rFonts w:cs="Times New Roman"/>
        </w:rPr>
        <w:t xml:space="preserve"> except a share of the gardens that they cultivate with great diligence that they may have something from it when</w:t>
      </w:r>
      <w:r w:rsidR="00BA6038" w:rsidRPr="004C3E04">
        <w:rPr>
          <w:rFonts w:cs="Times New Roman"/>
        </w:rPr>
        <w:t>ce they live. But we</w:t>
      </w:r>
      <w:r w:rsidR="00781D3A" w:rsidRPr="004C3E04">
        <w:rPr>
          <w:rFonts w:cs="Times New Roman"/>
        </w:rPr>
        <w:t xml:space="preserve"> poor have nothing after this life except </w:t>
      </w:r>
      <w:r w:rsidR="00BA6038" w:rsidRPr="004C3E04">
        <w:rPr>
          <w:rFonts w:cs="Times New Roman"/>
        </w:rPr>
        <w:t xml:space="preserve">the garden of the soul. </w:t>
      </w:r>
      <w:r w:rsidR="008D1EC5" w:rsidRPr="004C3E04">
        <w:rPr>
          <w:rFonts w:cs="Times New Roman"/>
        </w:rPr>
        <w:t>Therefore,</w:t>
      </w:r>
      <w:r w:rsidR="00BA6038" w:rsidRPr="004C3E04">
        <w:rPr>
          <w:rFonts w:cs="Times New Roman"/>
        </w:rPr>
        <w:t xml:space="preserve"> it is good to cultivate in the present so that by its fruits we may live hereafter, Amos 9[:14]: “They shall make </w:t>
      </w:r>
      <w:r w:rsidR="008D1EC5" w:rsidRPr="004C3E04">
        <w:rPr>
          <w:rFonts w:cs="Times New Roman"/>
        </w:rPr>
        <w:t>gardens and</w:t>
      </w:r>
      <w:r w:rsidR="00BA6038" w:rsidRPr="004C3E04">
        <w:rPr>
          <w:rFonts w:cs="Times New Roman"/>
        </w:rPr>
        <w:t xml:space="preserve"> eat the fruits of them.” </w:t>
      </w:r>
      <w:r w:rsidR="00574CAE" w:rsidRPr="004C3E04">
        <w:rPr>
          <w:rFonts w:cs="Times New Roman"/>
        </w:rPr>
        <w:t xml:space="preserve">But here it is to be noted that which Quintilian narrated in the book of his </w:t>
      </w:r>
      <w:r w:rsidR="00574CAE" w:rsidRPr="004C3E04">
        <w:rPr>
          <w:rFonts w:cs="Times New Roman"/>
          <w:i/>
        </w:rPr>
        <w:t>Declamationum</w:t>
      </w:r>
      <w:r w:rsidR="00574CAE" w:rsidRPr="004C3E04">
        <w:rPr>
          <w:rFonts w:cs="Times New Roman"/>
        </w:rPr>
        <w:t>,</w:t>
      </w:r>
      <w:r w:rsidR="003E4944" w:rsidRPr="004C3E04">
        <w:rPr>
          <w:rStyle w:val="EndnoteReference"/>
          <w:rFonts w:cs="Times New Roman"/>
        </w:rPr>
        <w:endnoteReference w:id="5"/>
      </w:r>
      <w:r w:rsidR="00574CAE" w:rsidRPr="004C3E04">
        <w:rPr>
          <w:rFonts w:cs="Times New Roman"/>
        </w:rPr>
        <w:t xml:space="preserve"> </w:t>
      </w:r>
      <w:r w:rsidR="00D41B8B" w:rsidRPr="004C3E04">
        <w:rPr>
          <w:rFonts w:cs="Times New Roman"/>
        </w:rPr>
        <w:t xml:space="preserve">about some poor man having bees next to the garden of a rich man. They fed upon the rich flowers of his vines. Wherefore the </w:t>
      </w:r>
      <w:r w:rsidR="00B41ACF" w:rsidRPr="004C3E04">
        <w:rPr>
          <w:rFonts w:cs="Times New Roman"/>
        </w:rPr>
        <w:t>rich man</w:t>
      </w:r>
      <w:r w:rsidR="00D41B8B" w:rsidRPr="004C3E04">
        <w:rPr>
          <w:rFonts w:cs="Times New Roman"/>
        </w:rPr>
        <w:t xml:space="preserve"> being envious poisoned his flowers so that in it the bees might die. </w:t>
      </w:r>
      <w:r w:rsidR="008D1EC5" w:rsidRPr="004C3E04">
        <w:rPr>
          <w:rFonts w:cs="Times New Roman"/>
        </w:rPr>
        <w:t>So,</w:t>
      </w:r>
      <w:r w:rsidR="00D41B8B" w:rsidRPr="004C3E04">
        <w:rPr>
          <w:rFonts w:cs="Times New Roman"/>
        </w:rPr>
        <w:t xml:space="preserve"> Christ has bees, that is, the holy desires in the faithful hearts of his followers whom the devil tries to extinguish. </w:t>
      </w:r>
      <w:r w:rsidR="008D1EC5" w:rsidRPr="004C3E04">
        <w:rPr>
          <w:rFonts w:cs="Times New Roman"/>
        </w:rPr>
        <w:t>Therefore,</w:t>
      </w:r>
      <w:r w:rsidR="00D41B8B" w:rsidRPr="004C3E04">
        <w:rPr>
          <w:rFonts w:cs="Times New Roman"/>
        </w:rPr>
        <w:t xml:space="preserve"> it is that Judas diverting by kissing Christ poured out </w:t>
      </w:r>
      <w:r w:rsidR="006D44CE" w:rsidRPr="004C3E04">
        <w:rPr>
          <w:rFonts w:cs="Times New Roman"/>
        </w:rPr>
        <w:t>t</w:t>
      </w:r>
      <w:r w:rsidR="00D41B8B" w:rsidRPr="004C3E04">
        <w:rPr>
          <w:rFonts w:cs="Times New Roman"/>
        </w:rPr>
        <w:t>he venom handing him over to death, John 18[:</w:t>
      </w:r>
      <w:r w:rsidR="00ED4440" w:rsidRPr="004C3E04">
        <w:rPr>
          <w:rFonts w:cs="Times New Roman"/>
        </w:rPr>
        <w:t>2].</w:t>
      </w:r>
    </w:p>
    <w:p w14:paraId="643F7B03" w14:textId="3249BB1A" w:rsidR="00016FC0" w:rsidRPr="004C3E04" w:rsidRDefault="00ED4440" w:rsidP="00AE03FA">
      <w:pPr>
        <w:spacing w:line="480" w:lineRule="auto"/>
        <w:rPr>
          <w:rFonts w:cs="Times New Roman"/>
        </w:rPr>
      </w:pPr>
      <w:r w:rsidRPr="004C3E04">
        <w:rPr>
          <w:rFonts w:cs="Times New Roman"/>
        </w:rPr>
        <w:t xml:space="preserve">¶ Concerning the third, Gen. 2[:8]: “The Lord had planted a paradise” in the east as if near himself, “wherein he placed man.” As if wishing him to have a special care for the garden of his Church. For according to the Philosopher, book 8, of the </w:t>
      </w:r>
      <w:r w:rsidRPr="004C3E04">
        <w:rPr>
          <w:rFonts w:cs="Times New Roman"/>
          <w:i/>
        </w:rPr>
        <w:t>Physicarum</w:t>
      </w:r>
      <w:r w:rsidRPr="004C3E04">
        <w:rPr>
          <w:rFonts w:cs="Times New Roman"/>
        </w:rPr>
        <w:t>,</w:t>
      </w:r>
      <w:r w:rsidR="003E4944" w:rsidRPr="004C3E04">
        <w:rPr>
          <w:rStyle w:val="EndnoteReference"/>
          <w:rFonts w:cs="Times New Roman"/>
        </w:rPr>
        <w:endnoteReference w:id="6"/>
      </w:r>
      <w:r w:rsidRPr="004C3E04">
        <w:rPr>
          <w:rFonts w:cs="Times New Roman"/>
        </w:rPr>
        <w:t xml:space="preserve"> </w:t>
      </w:r>
      <w:r w:rsidR="00C53116" w:rsidRPr="004C3E04">
        <w:rPr>
          <w:rFonts w:cs="Times New Roman"/>
        </w:rPr>
        <w:t xml:space="preserve">saying that a matter dying has its own place, just as king Achab because he desired the vines of Naboth outside near his house so that he might make there of it a garden for himself, 3 Kings 21[:2]. </w:t>
      </w:r>
      <w:r w:rsidR="008D1EC5" w:rsidRPr="004C3E04">
        <w:rPr>
          <w:rFonts w:cs="Times New Roman"/>
        </w:rPr>
        <w:t>So,</w:t>
      </w:r>
      <w:r w:rsidR="00C53116" w:rsidRPr="004C3E04">
        <w:rPr>
          <w:rFonts w:cs="Times New Roman"/>
        </w:rPr>
        <w:t xml:space="preserve"> King Solomon </w:t>
      </w:r>
      <w:r w:rsidR="00B8311F" w:rsidRPr="004C3E04">
        <w:rPr>
          <w:rFonts w:cs="Times New Roman"/>
        </w:rPr>
        <w:t xml:space="preserve">made for himself </w:t>
      </w:r>
      <w:r w:rsidR="008A128C" w:rsidRPr="004C3E04">
        <w:rPr>
          <w:rFonts w:cs="Times New Roman"/>
        </w:rPr>
        <w:t xml:space="preserve">“gardens, and orchards, and set them with trees of all kinds,” Eccle. 2[:5]. </w:t>
      </w:r>
      <w:r w:rsidR="008D1EC5" w:rsidRPr="004C3E04">
        <w:rPr>
          <w:rFonts w:cs="Times New Roman"/>
        </w:rPr>
        <w:t>Thus,</w:t>
      </w:r>
      <w:r w:rsidR="008A128C" w:rsidRPr="004C3E04">
        <w:rPr>
          <w:rFonts w:cs="Times New Roman"/>
        </w:rPr>
        <w:t xml:space="preserve"> in the garden of the Church God ordained for every kind of men to make fruit. Wherefore not without cause</w:t>
      </w:r>
      <w:r w:rsidR="003F1463">
        <w:rPr>
          <w:rFonts w:cs="Times New Roman"/>
        </w:rPr>
        <w:t>,</w:t>
      </w:r>
      <w:r w:rsidR="008A128C" w:rsidRPr="004C3E04">
        <w:rPr>
          <w:rFonts w:cs="Times New Roman"/>
        </w:rPr>
        <w:t xml:space="preserve"> Maria Magdalene thought Jesus to be a gardener, John 20[:15]. Because in fact he plants and waters and roots out harmful things from his garden. Wherefore the bride herself says, Can. 5[:1]: “Let my beloved come into his </w:t>
      </w:r>
      <w:r w:rsidR="008D1EC5" w:rsidRPr="004C3E04">
        <w:rPr>
          <w:rFonts w:cs="Times New Roman"/>
        </w:rPr>
        <w:t>garden and</w:t>
      </w:r>
      <w:r w:rsidR="008A128C" w:rsidRPr="004C3E04">
        <w:rPr>
          <w:rFonts w:cs="Times New Roman"/>
        </w:rPr>
        <w:t xml:space="preserve"> eat the fruit of his apple trees.” For this world is as if the garden of God according to </w:t>
      </w:r>
      <w:r w:rsidR="00B41ACF" w:rsidRPr="004C3E04">
        <w:rPr>
          <w:rFonts w:cs="Times New Roman"/>
        </w:rPr>
        <w:t>that</w:t>
      </w:r>
      <w:r w:rsidR="008A128C" w:rsidRPr="004C3E04">
        <w:rPr>
          <w:rFonts w:cs="Times New Roman"/>
        </w:rPr>
        <w:t xml:space="preserve"> of Joel 2[:3]: “The land is like a garden of pleasure.” Because it happens</w:t>
      </w:r>
      <w:r w:rsidR="003F1463">
        <w:rPr>
          <w:rStyle w:val="EndnoteReference"/>
          <w:rFonts w:cs="Times New Roman"/>
        </w:rPr>
        <w:endnoteReference w:id="7"/>
      </w:r>
      <w:r w:rsidR="008A128C" w:rsidRPr="004C3E04">
        <w:rPr>
          <w:rFonts w:cs="Times New Roman"/>
        </w:rPr>
        <w:t xml:space="preserve"> that the gardener places boys to gathering fruit in the garden. And if they throw fruit out of the gard</w:t>
      </w:r>
      <w:bookmarkStart w:id="1" w:name="_GoBack"/>
      <w:bookmarkEnd w:id="1"/>
      <w:r w:rsidR="008A128C" w:rsidRPr="004C3E04">
        <w:rPr>
          <w:rFonts w:cs="Times New Roman"/>
        </w:rPr>
        <w:t xml:space="preserve">en to their </w:t>
      </w:r>
      <w:r w:rsidR="00BB5523" w:rsidRPr="004C3E04">
        <w:rPr>
          <w:rFonts w:cs="Times New Roman"/>
        </w:rPr>
        <w:t xml:space="preserve">companions standing </w:t>
      </w:r>
      <w:r w:rsidR="003F1463" w:rsidRPr="004C3E04">
        <w:rPr>
          <w:rFonts w:cs="Times New Roman"/>
        </w:rPr>
        <w:t>outside,</w:t>
      </w:r>
      <w:r w:rsidR="00BB5523" w:rsidRPr="004C3E04">
        <w:rPr>
          <w:rFonts w:cs="Times New Roman"/>
        </w:rPr>
        <w:t xml:space="preserve"> they will be able to partake with those who go out, because the gardener does not permit those to carry out much. So those who abound here, if they throw out then to their good friends, to the poor that they may partake hereafter with them, because they took nothing from here, Can. 8[:13]: </w:t>
      </w:r>
      <w:r w:rsidR="00016FC0" w:rsidRPr="004C3E04">
        <w:rPr>
          <w:rFonts w:cs="Times New Roman"/>
        </w:rPr>
        <w:t>“You that dwell in the gardens, make me hear your voice.” King Assuerus “invited all the people to the great feast to be made in the court of the garden,” Esther 1[:5].</w:t>
      </w:r>
    </w:p>
    <w:sectPr w:rsidR="00016FC0" w:rsidRPr="004C3E0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D6EA" w14:textId="77777777" w:rsidR="003E4944" w:rsidRDefault="003E4944" w:rsidP="003E4944">
      <w:pPr>
        <w:spacing w:after="0" w:line="240" w:lineRule="auto"/>
      </w:pPr>
      <w:r>
        <w:separator/>
      </w:r>
    </w:p>
  </w:endnote>
  <w:endnote w:type="continuationSeparator" w:id="0">
    <w:p w14:paraId="49B60F15" w14:textId="77777777" w:rsidR="003E4944" w:rsidRDefault="003E4944" w:rsidP="003E4944">
      <w:pPr>
        <w:spacing w:after="0" w:line="240" w:lineRule="auto"/>
      </w:pPr>
      <w:r>
        <w:continuationSeparator/>
      </w:r>
    </w:p>
  </w:endnote>
  <w:endnote w:id="1">
    <w:p w14:paraId="392FB96D" w14:textId="61272500" w:rsidR="003E4944" w:rsidRPr="00577CC1" w:rsidRDefault="003E4944">
      <w:pPr>
        <w:pStyle w:val="EndnoteText"/>
        <w:rPr>
          <w:rFonts w:cs="Times New Roman"/>
          <w:sz w:val="24"/>
          <w:szCs w:val="24"/>
        </w:rPr>
      </w:pPr>
      <w:r w:rsidRPr="00577CC1">
        <w:rPr>
          <w:rStyle w:val="EndnoteReference"/>
          <w:rFonts w:cs="Times New Roman"/>
          <w:sz w:val="24"/>
          <w:szCs w:val="24"/>
        </w:rPr>
        <w:endnoteRef/>
      </w:r>
      <w:r w:rsidRPr="00577CC1">
        <w:rPr>
          <w:rFonts w:cs="Times New Roman"/>
          <w:sz w:val="24"/>
          <w:szCs w:val="24"/>
        </w:rPr>
        <w:t xml:space="preserve"> </w:t>
      </w:r>
      <w:r w:rsidRPr="00577CC1">
        <w:rPr>
          <w:rFonts w:cs="Times New Roman"/>
          <w:sz w:val="24"/>
          <w:szCs w:val="24"/>
        </w:rPr>
        <w:t xml:space="preserve">Isidore, </w:t>
      </w:r>
      <w:r w:rsidRPr="00577CC1">
        <w:rPr>
          <w:rFonts w:cs="Times New Roman"/>
          <w:i/>
          <w:sz w:val="24"/>
          <w:szCs w:val="24"/>
        </w:rPr>
        <w:t>Etymologiae</w:t>
      </w:r>
      <w:r w:rsidRPr="00577CC1">
        <w:rPr>
          <w:rFonts w:cs="Times New Roman"/>
          <w:sz w:val="24"/>
          <w:szCs w:val="24"/>
        </w:rPr>
        <w:t xml:space="preserve"> 17.10.1 (PL 82:635): Hortus nominatur, quod semper ibi aliquid oriatur.</w:t>
      </w:r>
    </w:p>
    <w:p w14:paraId="35C34A9D" w14:textId="77777777" w:rsidR="003E4944" w:rsidRPr="00577CC1" w:rsidRDefault="003E4944">
      <w:pPr>
        <w:pStyle w:val="EndnoteText"/>
        <w:rPr>
          <w:rFonts w:cs="Times New Roman"/>
          <w:sz w:val="24"/>
          <w:szCs w:val="24"/>
        </w:rPr>
      </w:pPr>
    </w:p>
  </w:endnote>
  <w:endnote w:id="2">
    <w:p w14:paraId="4CEF0958" w14:textId="53444E23" w:rsidR="00F618D5" w:rsidRPr="00577CC1" w:rsidRDefault="00F618D5">
      <w:pPr>
        <w:pStyle w:val="EndnoteText"/>
        <w:rPr>
          <w:rFonts w:cs="Times New Roman"/>
          <w:sz w:val="24"/>
          <w:szCs w:val="24"/>
        </w:rPr>
      </w:pPr>
      <w:r w:rsidRPr="00577CC1">
        <w:rPr>
          <w:rStyle w:val="EndnoteReference"/>
          <w:rFonts w:cs="Times New Roman"/>
          <w:sz w:val="24"/>
          <w:szCs w:val="24"/>
        </w:rPr>
        <w:endnoteRef/>
      </w:r>
      <w:r w:rsidRPr="00577CC1">
        <w:rPr>
          <w:rFonts w:cs="Times New Roman"/>
          <w:sz w:val="24"/>
          <w:szCs w:val="24"/>
        </w:rPr>
        <w:t xml:space="preserve"> Haymi Altissiodorensis, </w:t>
      </w:r>
      <w:r w:rsidRPr="00577CC1">
        <w:rPr>
          <w:rFonts w:cs="Times New Roman"/>
          <w:i/>
          <w:iCs/>
          <w:sz w:val="24"/>
          <w:szCs w:val="24"/>
        </w:rPr>
        <w:t>Expositio in Canticum canticorum</w:t>
      </w:r>
      <w:r w:rsidRPr="00577CC1">
        <w:rPr>
          <w:rFonts w:cs="Times New Roman"/>
          <w:sz w:val="24"/>
          <w:szCs w:val="24"/>
        </w:rPr>
        <w:t xml:space="preserve"> 6: quis sit hortus Christi; sanca videlicet Ecclesia</w:t>
      </w:r>
    </w:p>
    <w:p w14:paraId="7E767871" w14:textId="02F02503" w:rsidR="00F618D5" w:rsidRPr="00577CC1" w:rsidRDefault="00F618D5">
      <w:pPr>
        <w:pStyle w:val="EndnoteText"/>
        <w:rPr>
          <w:rFonts w:cs="Times New Roman"/>
          <w:sz w:val="24"/>
          <w:szCs w:val="24"/>
        </w:rPr>
      </w:pPr>
      <w:hyperlink r:id="rId1" w:history="1">
        <w:r w:rsidRPr="00577CC1">
          <w:rPr>
            <w:rStyle w:val="Hyperlink"/>
            <w:rFonts w:cs="Times New Roman"/>
            <w:sz w:val="24"/>
            <w:szCs w:val="24"/>
          </w:rPr>
          <w:t>https://www.corpusthomisticum.org/xcc.html</w:t>
        </w:r>
      </w:hyperlink>
    </w:p>
    <w:p w14:paraId="4B68C030" w14:textId="77777777" w:rsidR="00F618D5" w:rsidRPr="00577CC1" w:rsidRDefault="00F618D5">
      <w:pPr>
        <w:pStyle w:val="EndnoteText"/>
        <w:rPr>
          <w:rFonts w:cs="Times New Roman"/>
          <w:sz w:val="24"/>
          <w:szCs w:val="24"/>
        </w:rPr>
      </w:pPr>
    </w:p>
  </w:endnote>
  <w:endnote w:id="3">
    <w:p w14:paraId="20124C2B" w14:textId="77777777" w:rsidR="003E4944" w:rsidRPr="00577CC1" w:rsidRDefault="003E4944" w:rsidP="003E4944">
      <w:pPr>
        <w:pStyle w:val="EndnoteText"/>
        <w:rPr>
          <w:rFonts w:cs="Times New Roman"/>
          <w:sz w:val="24"/>
          <w:szCs w:val="24"/>
        </w:rPr>
      </w:pPr>
      <w:r w:rsidRPr="00577CC1">
        <w:rPr>
          <w:rStyle w:val="EndnoteReference"/>
          <w:rFonts w:cs="Times New Roman"/>
          <w:sz w:val="24"/>
          <w:szCs w:val="24"/>
        </w:rPr>
        <w:endnoteRef/>
      </w:r>
      <w:r w:rsidRPr="00577CC1">
        <w:rPr>
          <w:rFonts w:cs="Times New Roman"/>
          <w:sz w:val="24"/>
          <w:szCs w:val="24"/>
        </w:rPr>
        <w:t xml:space="preserve"> </w:t>
      </w:r>
      <w:r w:rsidRPr="00577CC1">
        <w:rPr>
          <w:rFonts w:cs="Times New Roman"/>
          <w:sz w:val="24"/>
          <w:szCs w:val="24"/>
        </w:rPr>
        <w:t xml:space="preserve">Palladius Rutilius Taurus Aemilianus, </w:t>
      </w:r>
      <w:r w:rsidRPr="00577CC1">
        <w:rPr>
          <w:rFonts w:cs="Times New Roman"/>
          <w:i/>
          <w:sz w:val="24"/>
          <w:szCs w:val="24"/>
        </w:rPr>
        <w:t>Opus agriculturae</w:t>
      </w:r>
      <w:r w:rsidRPr="00577CC1">
        <w:rPr>
          <w:rFonts w:cs="Times New Roman"/>
          <w:sz w:val="24"/>
          <w:szCs w:val="24"/>
        </w:rPr>
        <w:t xml:space="preserve"> 1.35.4, ed. J.C. Schmitt (Leipzig: Teubner 1898): Contra animalia, quae uitibus nocent, cantharides quas in rosis inuenire consueuimus, oleo mersas resolui patieris in tabem et, cum putandae sunt uites, hoc oleo falces perunges. Extinguuntur cimices amurca et felle bubulo lectis aut locis perunctis uel foliis ederae tritis ex oleo uel incensis sanguisugis.</w:t>
      </w:r>
    </w:p>
    <w:p w14:paraId="7900CD02" w14:textId="77777777" w:rsidR="003E4944" w:rsidRPr="00577CC1" w:rsidRDefault="003E4944" w:rsidP="003E4944">
      <w:pPr>
        <w:pStyle w:val="EndnoteText"/>
        <w:rPr>
          <w:rFonts w:cs="Times New Roman"/>
          <w:sz w:val="24"/>
          <w:szCs w:val="24"/>
        </w:rPr>
      </w:pPr>
      <w:hyperlink r:id="rId2" w:anchor="35" w:history="1">
        <w:r w:rsidRPr="00577CC1">
          <w:rPr>
            <w:rStyle w:val="Hyperlink"/>
            <w:rFonts w:cs="Times New Roman"/>
            <w:sz w:val="24"/>
            <w:szCs w:val="24"/>
          </w:rPr>
          <w:t>http://www.forumromanum.org/literature/palladius/agr1.html#35</w:t>
        </w:r>
      </w:hyperlink>
    </w:p>
    <w:p w14:paraId="0CCDC24B" w14:textId="2EC5B931" w:rsidR="003E4944" w:rsidRPr="00577CC1" w:rsidRDefault="003E4944">
      <w:pPr>
        <w:pStyle w:val="EndnoteText"/>
        <w:rPr>
          <w:rFonts w:cs="Times New Roman"/>
          <w:sz w:val="24"/>
          <w:szCs w:val="24"/>
        </w:rPr>
      </w:pPr>
    </w:p>
  </w:endnote>
  <w:endnote w:id="4">
    <w:p w14:paraId="6FE9C727" w14:textId="77777777" w:rsidR="003E4944" w:rsidRPr="00577CC1" w:rsidRDefault="003E4944" w:rsidP="003E4944">
      <w:pPr>
        <w:pStyle w:val="EndnoteText"/>
        <w:rPr>
          <w:rFonts w:cs="Times New Roman"/>
          <w:sz w:val="24"/>
          <w:szCs w:val="24"/>
        </w:rPr>
      </w:pPr>
      <w:r w:rsidRPr="00577CC1">
        <w:rPr>
          <w:rStyle w:val="EndnoteReference"/>
          <w:rFonts w:cs="Times New Roman"/>
          <w:sz w:val="24"/>
          <w:szCs w:val="24"/>
        </w:rPr>
        <w:endnoteRef/>
      </w:r>
      <w:r w:rsidRPr="00577CC1">
        <w:rPr>
          <w:rFonts w:cs="Times New Roman"/>
          <w:sz w:val="24"/>
          <w:szCs w:val="24"/>
        </w:rPr>
        <w:t xml:space="preserve"> </w:t>
      </w:r>
      <w:r w:rsidRPr="00577CC1">
        <w:rPr>
          <w:rFonts w:cs="Times New Roman"/>
          <w:sz w:val="24"/>
          <w:szCs w:val="24"/>
        </w:rPr>
        <w:t xml:space="preserve">Bernard, </w:t>
      </w:r>
      <w:r w:rsidRPr="00577CC1">
        <w:rPr>
          <w:rFonts w:cs="Times New Roman"/>
          <w:i/>
          <w:sz w:val="24"/>
          <w:szCs w:val="24"/>
        </w:rPr>
        <w:t>In Cantica Canticorum</w:t>
      </w:r>
      <w:r w:rsidRPr="00577CC1">
        <w:rPr>
          <w:rFonts w:cs="Times New Roman"/>
          <w:sz w:val="24"/>
          <w:szCs w:val="24"/>
        </w:rPr>
        <w:t xml:space="preserve"> Sermo 47.3 (PL 183:1009): Differunt tamen et ipsi inter se, [Col.1009B] quod hortus quidem ut floreat, hominum manu et arte excolitur: campus vero ex semetipso naturaliter producit flores, et absque omni humanae diligentiae adjutorio. Putasne jam tibi videris advertere quisnam ille sit campus, nec sulcatus vomere, nec defossus sarculo, nec fimo impinguatus, nec manu hominis seminatus; honestatus [alias, venustatus] tamen nihilominus nobili illo flore, super quem constat requievisse Spiritum Domini?</w:t>
      </w:r>
    </w:p>
    <w:p w14:paraId="03AAF37B" w14:textId="2C5946D0" w:rsidR="003E4944" w:rsidRPr="00577CC1" w:rsidRDefault="003E4944">
      <w:pPr>
        <w:pStyle w:val="EndnoteText"/>
        <w:rPr>
          <w:rFonts w:cs="Times New Roman"/>
          <w:sz w:val="24"/>
          <w:szCs w:val="24"/>
        </w:rPr>
      </w:pPr>
    </w:p>
  </w:endnote>
  <w:endnote w:id="5">
    <w:p w14:paraId="16EDAD1C" w14:textId="50CED395" w:rsidR="003E4944" w:rsidRPr="00577CC1" w:rsidRDefault="003E4944" w:rsidP="003E4944">
      <w:pPr>
        <w:pStyle w:val="EndnoteText"/>
        <w:rPr>
          <w:rFonts w:cs="Times New Roman"/>
          <w:sz w:val="24"/>
          <w:szCs w:val="24"/>
        </w:rPr>
      </w:pPr>
      <w:r w:rsidRPr="00577CC1">
        <w:rPr>
          <w:rStyle w:val="EndnoteReference"/>
          <w:rFonts w:cs="Times New Roman"/>
          <w:sz w:val="24"/>
          <w:szCs w:val="24"/>
        </w:rPr>
        <w:endnoteRef/>
      </w:r>
      <w:r w:rsidRPr="00577CC1">
        <w:rPr>
          <w:rFonts w:cs="Times New Roman"/>
          <w:sz w:val="24"/>
          <w:szCs w:val="24"/>
        </w:rPr>
        <w:t xml:space="preserve"> </w:t>
      </w:r>
      <w:r w:rsidRPr="00577CC1">
        <w:rPr>
          <w:rFonts w:cs="Times New Roman"/>
          <w:sz w:val="24"/>
          <w:szCs w:val="24"/>
        </w:rPr>
        <w:t xml:space="preserve">Quintilian, </w:t>
      </w:r>
      <w:r w:rsidRPr="00577CC1">
        <w:rPr>
          <w:rFonts w:cs="Times New Roman"/>
          <w:i/>
          <w:sz w:val="24"/>
          <w:szCs w:val="24"/>
        </w:rPr>
        <w:t>Declamationes maiores</w:t>
      </w:r>
      <w:r w:rsidRPr="00577CC1">
        <w:rPr>
          <w:rFonts w:cs="Times New Roman"/>
          <w:sz w:val="24"/>
          <w:szCs w:val="24"/>
        </w:rPr>
        <w:t>, 13.1-19</w:t>
      </w:r>
      <w:r w:rsidR="009740E8" w:rsidRPr="00577CC1">
        <w:rPr>
          <w:rFonts w:cs="Times New Roman"/>
          <w:sz w:val="24"/>
          <w:szCs w:val="24"/>
        </w:rPr>
        <w:t xml:space="preserve">: </w:t>
      </w:r>
    </w:p>
    <w:p w14:paraId="3716CCF6" w14:textId="16FC9733" w:rsidR="003E4944" w:rsidRPr="00577CC1" w:rsidRDefault="003E4944" w:rsidP="003E4944">
      <w:pPr>
        <w:pStyle w:val="EndnoteText"/>
        <w:rPr>
          <w:rFonts w:cs="Times New Roman"/>
          <w:sz w:val="24"/>
          <w:szCs w:val="24"/>
        </w:rPr>
      </w:pPr>
      <w:r w:rsidRPr="00577CC1">
        <w:rPr>
          <w:rFonts w:cs="Times New Roman"/>
          <w:sz w:val="24"/>
          <w:szCs w:val="24"/>
        </w:rPr>
        <w:t xml:space="preserve">http://monumenta.ch/latein/text.php?tabelle=Quintilianus&amp;rumpfid=Quintilianus, Declamationes Maiores, 13&amp;id=Quintilianus, Declamationes Maiores, </w:t>
      </w:r>
      <w:proofErr w:type="gramStart"/>
      <w:r w:rsidRPr="00577CC1">
        <w:rPr>
          <w:rFonts w:cs="Times New Roman"/>
          <w:sz w:val="24"/>
          <w:szCs w:val="24"/>
        </w:rPr>
        <w:t xml:space="preserve">13,   </w:t>
      </w:r>
      <w:proofErr w:type="gramEnd"/>
      <w:r w:rsidRPr="00577CC1">
        <w:rPr>
          <w:rFonts w:cs="Times New Roman"/>
          <w:sz w:val="24"/>
          <w:szCs w:val="24"/>
        </w:rPr>
        <w:t>0&amp;level=99&amp;level9798=&amp;satz=0&amp;string=apes&amp;binary=&amp;domain=&amp;lang=0&amp;von=advkonkordanz&amp;hide_apparatus=1&amp;inframe=1&amp;jumpto=0&amp;target=#0</w:t>
      </w:r>
    </w:p>
    <w:p w14:paraId="555AA1BC" w14:textId="10FB9A24" w:rsidR="009740E8" w:rsidRPr="00577CC1" w:rsidRDefault="009740E8" w:rsidP="003E4944">
      <w:pPr>
        <w:pStyle w:val="EndnoteText"/>
        <w:rPr>
          <w:rFonts w:cs="Times New Roman"/>
          <w:sz w:val="24"/>
          <w:szCs w:val="24"/>
        </w:rPr>
      </w:pPr>
    </w:p>
    <w:p w14:paraId="1F551FB0" w14:textId="4873797B" w:rsidR="009740E8" w:rsidRPr="00577CC1" w:rsidRDefault="009740E8" w:rsidP="003E4944">
      <w:pPr>
        <w:pStyle w:val="EndnoteText"/>
        <w:rPr>
          <w:rFonts w:cs="Times New Roman"/>
          <w:color w:val="333333"/>
          <w:sz w:val="24"/>
          <w:szCs w:val="24"/>
          <w:shd w:val="clear" w:color="auto" w:fill="FFFFFF"/>
        </w:rPr>
      </w:pPr>
      <w:r w:rsidRPr="00577CC1">
        <w:rPr>
          <w:rFonts w:cs="Times New Roman"/>
          <w:sz w:val="24"/>
          <w:szCs w:val="24"/>
        </w:rPr>
        <w:t xml:space="preserve">Cf. </w:t>
      </w:r>
      <w:r w:rsidRPr="00577CC1">
        <w:rPr>
          <w:rFonts w:cs="Times New Roman"/>
          <w:color w:val="333333"/>
          <w:sz w:val="24"/>
          <w:szCs w:val="24"/>
          <w:shd w:val="clear" w:color="auto" w:fill="FFFFFF"/>
        </w:rPr>
        <w:t>Pseudo-Quintilian, </w:t>
      </w:r>
      <w:r w:rsidRPr="00577CC1">
        <w:rPr>
          <w:rStyle w:val="Emphasis"/>
          <w:rFonts w:cs="Times New Roman"/>
          <w:color w:val="333333"/>
          <w:sz w:val="24"/>
          <w:szCs w:val="24"/>
          <w:bdr w:val="none" w:sz="0" w:space="0" w:color="auto" w:frame="1"/>
          <w:shd w:val="clear" w:color="auto" w:fill="FFFFFF"/>
        </w:rPr>
        <w:t>Orations </w:t>
      </w:r>
      <w:r w:rsidRPr="00577CC1">
        <w:rPr>
          <w:rFonts w:cs="Times New Roman"/>
          <w:color w:val="333333"/>
          <w:sz w:val="24"/>
          <w:szCs w:val="24"/>
          <w:shd w:val="clear" w:color="auto" w:fill="FFFFFF"/>
        </w:rPr>
        <w:t>13.1</w:t>
      </w:r>
      <w:r w:rsidRPr="00577CC1">
        <w:rPr>
          <w:rFonts w:cs="Times New Roman"/>
          <w:color w:val="333333"/>
          <w:sz w:val="24"/>
          <w:szCs w:val="24"/>
          <w:shd w:val="clear" w:color="auto" w:fill="FFFFFF"/>
        </w:rPr>
        <w:t xml:space="preserve">: </w:t>
      </w:r>
      <w:r w:rsidRPr="00577CC1">
        <w:rPr>
          <w:rStyle w:val="Emphasis"/>
          <w:rFonts w:cs="Times New Roman"/>
          <w:color w:val="333333"/>
          <w:sz w:val="24"/>
          <w:szCs w:val="24"/>
          <w:bdr w:val="none" w:sz="0" w:space="0" w:color="auto" w:frame="1"/>
          <w:shd w:val="clear" w:color="auto" w:fill="FFFFFF"/>
        </w:rPr>
        <w:t>There may be legal suit for damage caused by wrongdoing: a poor man and a rich man were neighbours in the country by their adjacent gardens. The rich had flowers in in garden; the poor had bees. The rich man complained that his flowers were damaged by the bees of the poor man. He requested for them to be relocated. As the poor man did not transfer them, the rich man sprinkled his flowers with poison. All the bees of the poor man perished. The rich man is accused of damage caused by wrongdoing.</w:t>
      </w:r>
      <w:r w:rsidRPr="00577CC1">
        <w:rPr>
          <w:rFonts w:cs="Times New Roman"/>
          <w:color w:val="333333"/>
          <w:sz w:val="24"/>
          <w:szCs w:val="24"/>
          <w:shd w:val="clear" w:color="auto" w:fill="FFFFFF"/>
        </w:rPr>
        <w:t> </w:t>
      </w:r>
    </w:p>
    <w:p w14:paraId="110831FD" w14:textId="1A324E90" w:rsidR="009740E8" w:rsidRPr="00577CC1" w:rsidRDefault="009740E8" w:rsidP="003E4944">
      <w:pPr>
        <w:pStyle w:val="EndnoteText"/>
        <w:rPr>
          <w:rFonts w:cs="Times New Roman"/>
          <w:sz w:val="24"/>
          <w:szCs w:val="24"/>
        </w:rPr>
      </w:pPr>
      <w:hyperlink r:id="rId3" w:history="1">
        <w:r w:rsidRPr="00577CC1">
          <w:rPr>
            <w:rStyle w:val="Hyperlink"/>
            <w:rFonts w:cs="Times New Roman"/>
            <w:sz w:val="24"/>
            <w:szCs w:val="24"/>
          </w:rPr>
          <w:t>https://ancientrecipes.wordpress.com/2015/06/19/the-poor-mans-bees/</w:t>
        </w:r>
      </w:hyperlink>
    </w:p>
    <w:p w14:paraId="4E4D577A" w14:textId="1C650772" w:rsidR="003E4944" w:rsidRPr="00577CC1" w:rsidRDefault="003E4944">
      <w:pPr>
        <w:pStyle w:val="EndnoteText"/>
        <w:rPr>
          <w:rFonts w:cs="Times New Roman"/>
          <w:sz w:val="24"/>
          <w:szCs w:val="24"/>
        </w:rPr>
      </w:pPr>
    </w:p>
    <w:p w14:paraId="6ADB7083" w14:textId="6E9F0BCC" w:rsidR="009740E8" w:rsidRPr="00577CC1" w:rsidRDefault="00E04ACF">
      <w:pPr>
        <w:pStyle w:val="EndnoteText"/>
        <w:rPr>
          <w:rFonts w:cs="Times New Roman"/>
          <w:sz w:val="24"/>
          <w:szCs w:val="24"/>
        </w:rPr>
      </w:pPr>
      <w:r w:rsidRPr="00577CC1">
        <w:rPr>
          <w:rFonts w:cs="Times New Roman"/>
          <w:sz w:val="24"/>
          <w:szCs w:val="24"/>
        </w:rPr>
        <w:t>Cf. Christopher Van Den Berg, “Program and composition in Pseudo-Quintilian’s 13</w:t>
      </w:r>
      <w:r w:rsidRPr="00577CC1">
        <w:rPr>
          <w:rFonts w:cs="Times New Roman"/>
          <w:sz w:val="24"/>
          <w:szCs w:val="24"/>
          <w:vertAlign w:val="superscript"/>
        </w:rPr>
        <w:t>th</w:t>
      </w:r>
      <w:r w:rsidRPr="00577CC1">
        <w:rPr>
          <w:rFonts w:cs="Times New Roman"/>
          <w:sz w:val="24"/>
          <w:szCs w:val="24"/>
        </w:rPr>
        <w:t xml:space="preserve"> </w:t>
      </w:r>
      <w:r w:rsidRPr="00577CC1">
        <w:rPr>
          <w:rFonts w:cs="Times New Roman"/>
          <w:i/>
          <w:iCs/>
          <w:sz w:val="24"/>
          <w:szCs w:val="24"/>
        </w:rPr>
        <w:t>Major Declamation</w:t>
      </w:r>
      <w:r w:rsidRPr="00577CC1">
        <w:rPr>
          <w:rFonts w:cs="Times New Roman"/>
          <w:sz w:val="24"/>
          <w:szCs w:val="24"/>
        </w:rPr>
        <w:t xml:space="preserve">,’ in </w:t>
      </w:r>
      <w:r w:rsidRPr="00577CC1">
        <w:rPr>
          <w:rFonts w:cs="Times New Roman"/>
          <w:i/>
          <w:iCs/>
          <w:sz w:val="24"/>
          <w:szCs w:val="24"/>
        </w:rPr>
        <w:t>Fabrique de la Delamation Antique</w:t>
      </w:r>
      <w:r w:rsidRPr="00577CC1">
        <w:rPr>
          <w:rFonts w:cs="Times New Roman"/>
          <w:sz w:val="24"/>
          <w:szCs w:val="24"/>
        </w:rPr>
        <w:t>, ed. Catherine Schneider and Remy Poignault (Lyon: MOM</w:t>
      </w:r>
      <w:r w:rsidRPr="00577CC1">
        <w:rPr>
          <w:rFonts w:cs="Times New Roman"/>
          <w:i/>
          <w:iCs/>
          <w:sz w:val="24"/>
          <w:szCs w:val="24"/>
        </w:rPr>
        <w:t xml:space="preserve"> </w:t>
      </w:r>
      <w:r w:rsidRPr="00577CC1">
        <w:rPr>
          <w:rFonts w:cs="Times New Roman"/>
          <w:sz w:val="24"/>
          <w:szCs w:val="24"/>
        </w:rPr>
        <w:t>Editions, 2018), pp. 161-175.</w:t>
      </w:r>
    </w:p>
    <w:p w14:paraId="4126C11F" w14:textId="77777777" w:rsidR="009740E8" w:rsidRPr="00577CC1" w:rsidRDefault="009740E8">
      <w:pPr>
        <w:pStyle w:val="EndnoteText"/>
        <w:rPr>
          <w:rFonts w:cs="Times New Roman"/>
          <w:sz w:val="24"/>
          <w:szCs w:val="24"/>
        </w:rPr>
      </w:pPr>
    </w:p>
  </w:endnote>
  <w:endnote w:id="6">
    <w:p w14:paraId="4FE46236" w14:textId="151AB076" w:rsidR="003E4944" w:rsidRPr="00577CC1" w:rsidRDefault="003E4944">
      <w:pPr>
        <w:pStyle w:val="EndnoteText"/>
        <w:rPr>
          <w:rFonts w:cs="Times New Roman"/>
          <w:sz w:val="24"/>
          <w:szCs w:val="24"/>
        </w:rPr>
      </w:pPr>
      <w:r w:rsidRPr="00577CC1">
        <w:rPr>
          <w:rStyle w:val="EndnoteReference"/>
          <w:rFonts w:cs="Times New Roman"/>
          <w:sz w:val="24"/>
          <w:szCs w:val="24"/>
        </w:rPr>
        <w:endnoteRef/>
      </w:r>
      <w:r w:rsidRPr="00577CC1">
        <w:rPr>
          <w:rFonts w:cs="Times New Roman"/>
          <w:sz w:val="24"/>
          <w:szCs w:val="24"/>
        </w:rPr>
        <w:t xml:space="preserve"> </w:t>
      </w:r>
      <w:bookmarkStart w:id="0" w:name="_Hlk5897370"/>
      <w:r w:rsidRPr="00577CC1">
        <w:rPr>
          <w:rFonts w:cs="Times New Roman"/>
          <w:sz w:val="24"/>
          <w:szCs w:val="24"/>
        </w:rPr>
        <w:t xml:space="preserve">Aristotle, </w:t>
      </w:r>
      <w:r w:rsidRPr="00577CC1">
        <w:rPr>
          <w:rFonts w:cs="Times New Roman"/>
          <w:i/>
          <w:sz w:val="24"/>
          <w:szCs w:val="24"/>
        </w:rPr>
        <w:t>Physics</w:t>
      </w:r>
      <w:r w:rsidRPr="00577CC1">
        <w:rPr>
          <w:rFonts w:cs="Times New Roman"/>
          <w:sz w:val="24"/>
          <w:szCs w:val="24"/>
        </w:rPr>
        <w:t xml:space="preserve"> 4.5 212b30-33 (Barnes 1:362)</w:t>
      </w:r>
      <w:bookmarkEnd w:id="0"/>
      <w:r w:rsidRPr="00577CC1">
        <w:rPr>
          <w:rFonts w:cs="Times New Roman"/>
          <w:sz w:val="24"/>
          <w:szCs w:val="24"/>
        </w:rPr>
        <w:t xml:space="preserve">: </w:t>
      </w:r>
      <w:proofErr w:type="gramStart"/>
      <w:r w:rsidRPr="00577CC1">
        <w:rPr>
          <w:rFonts w:cs="Times New Roman"/>
          <w:sz w:val="24"/>
          <w:szCs w:val="24"/>
        </w:rPr>
        <w:t>Also</w:t>
      </w:r>
      <w:proofErr w:type="gramEnd"/>
      <w:r w:rsidRPr="00577CC1">
        <w:rPr>
          <w:rFonts w:cs="Times New Roman"/>
          <w:sz w:val="24"/>
          <w:szCs w:val="24"/>
        </w:rPr>
        <w:t xml:space="preserve"> it is reasonable that each kind of body should be carried to its own place. For a body which is next in the series and in contact (not by compulsion) is akin, and bodies which are united do not affect each other, while those which are in contact interact on each other.</w:t>
      </w:r>
    </w:p>
    <w:p w14:paraId="3BF05A49" w14:textId="77777777" w:rsidR="003F1463" w:rsidRPr="00577CC1" w:rsidRDefault="003F1463">
      <w:pPr>
        <w:pStyle w:val="EndnoteText"/>
        <w:rPr>
          <w:rFonts w:cs="Times New Roman"/>
          <w:sz w:val="24"/>
          <w:szCs w:val="24"/>
        </w:rPr>
      </w:pPr>
    </w:p>
  </w:endnote>
  <w:endnote w:id="7">
    <w:p w14:paraId="519BACC9" w14:textId="76688E88" w:rsidR="003F1463" w:rsidRPr="00577CC1" w:rsidRDefault="003F1463">
      <w:pPr>
        <w:pStyle w:val="EndnoteText"/>
        <w:rPr>
          <w:sz w:val="24"/>
          <w:szCs w:val="24"/>
        </w:rPr>
      </w:pPr>
      <w:r w:rsidRPr="00577CC1">
        <w:rPr>
          <w:rStyle w:val="EndnoteReference"/>
          <w:sz w:val="24"/>
          <w:szCs w:val="24"/>
        </w:rPr>
        <w:endnoteRef/>
      </w:r>
      <w:r w:rsidRPr="00577CC1">
        <w:rPr>
          <w:sz w:val="24"/>
          <w:szCs w:val="24"/>
        </w:rPr>
        <w:t xml:space="preserve"> Cf. </w:t>
      </w:r>
      <w:r w:rsidRPr="00577CC1">
        <w:rPr>
          <w:i/>
          <w:iCs/>
          <w:sz w:val="24"/>
          <w:szCs w:val="24"/>
        </w:rPr>
        <w:t>Fasciculus morum</w:t>
      </w:r>
      <w:r w:rsidRPr="00577CC1">
        <w:rPr>
          <w:sz w:val="24"/>
          <w:szCs w:val="24"/>
        </w:rPr>
        <w:t xml:space="preserve"> 4.10 (pp. 376-378): Exemplum ad hoc: Videmus quod pueri qui gardinum alterius aut ortum furtive intraverunt poma auferre, quod ad invicem decertant quis eorum posset moaiorem congeriem coadunare et in sinu abscondere; quorum alii socii minus potente</w:t>
      </w:r>
      <w:r w:rsidR="00C22BD8" w:rsidRPr="00577CC1">
        <w:rPr>
          <w:sz w:val="24"/>
          <w:szCs w:val="24"/>
        </w:rPr>
        <w:t xml:space="preserve">s exterius stant et clamant partem rogantes, set ipsi interius hoc audire dissimulant, quia omnia soli vellent auferre. Set quid accidit? Revera cum in capucio, sinu, et gremio undique fuerunt onerati et ianum exire proponunt, astat ibi ianitor conta illos paratus et eos de omnibus collectis spoliat, verberat, et nudos tom pomis quam pannis ululantes et flentes abire permittit. Spiritualiter autem illud gardinum sive ortum hic mundus est, qui repletur pomis, idest bonis temporalibus; quem furtive ingrediuntur avari, ut secundum posse eum spoliant. Et ideo inter eos decertacio maxima est quis eorum maiorem numerum diviciarum colligere posset et secum asportare. Extra vero stant pauperes ad ingrediendum, hoc est ad huiusmodi lucrandum, inpotentes; partem et auxilium ab illis petunt, set nichil optinent. ... </w:t>
      </w:r>
    </w:p>
    <w:p w14:paraId="249C23EB" w14:textId="77777777" w:rsidR="003F1463" w:rsidRPr="00577CC1" w:rsidRDefault="003F1463">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93EB" w14:textId="77777777" w:rsidR="003E4944" w:rsidRDefault="003E4944" w:rsidP="003E4944">
      <w:pPr>
        <w:spacing w:after="0" w:line="240" w:lineRule="auto"/>
      </w:pPr>
      <w:r>
        <w:separator/>
      </w:r>
    </w:p>
  </w:footnote>
  <w:footnote w:type="continuationSeparator" w:id="0">
    <w:p w14:paraId="583F2ECF" w14:textId="77777777" w:rsidR="003E4944" w:rsidRDefault="003E4944" w:rsidP="003E4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7A"/>
    <w:rsid w:val="00016FC0"/>
    <w:rsid w:val="000A2D9C"/>
    <w:rsid w:val="000E6491"/>
    <w:rsid w:val="00177E3B"/>
    <w:rsid w:val="001E6519"/>
    <w:rsid w:val="002218E6"/>
    <w:rsid w:val="003A7B90"/>
    <w:rsid w:val="003E4944"/>
    <w:rsid w:val="003F1463"/>
    <w:rsid w:val="004731BF"/>
    <w:rsid w:val="004C3E04"/>
    <w:rsid w:val="004C7533"/>
    <w:rsid w:val="00537C12"/>
    <w:rsid w:val="00574CAE"/>
    <w:rsid w:val="00577CC1"/>
    <w:rsid w:val="00600C7A"/>
    <w:rsid w:val="006D44CE"/>
    <w:rsid w:val="00781D3A"/>
    <w:rsid w:val="007B608A"/>
    <w:rsid w:val="00870735"/>
    <w:rsid w:val="008A128C"/>
    <w:rsid w:val="008D1EC5"/>
    <w:rsid w:val="009740E8"/>
    <w:rsid w:val="00992192"/>
    <w:rsid w:val="009F6B7A"/>
    <w:rsid w:val="00A94715"/>
    <w:rsid w:val="00AE03FA"/>
    <w:rsid w:val="00B41ACF"/>
    <w:rsid w:val="00B8311F"/>
    <w:rsid w:val="00B9284F"/>
    <w:rsid w:val="00BA6038"/>
    <w:rsid w:val="00BB5523"/>
    <w:rsid w:val="00C22BD8"/>
    <w:rsid w:val="00C2532C"/>
    <w:rsid w:val="00C53116"/>
    <w:rsid w:val="00CE49DE"/>
    <w:rsid w:val="00D036C8"/>
    <w:rsid w:val="00D337F6"/>
    <w:rsid w:val="00D41B8B"/>
    <w:rsid w:val="00E04ACF"/>
    <w:rsid w:val="00ED4440"/>
    <w:rsid w:val="00F6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3505"/>
  <w15:chartTrackingRefBased/>
  <w15:docId w15:val="{7329C341-FECC-47F6-8E73-FBAC3F48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12"/>
    <w:rPr>
      <w:rFonts w:ascii="Segoe UI" w:hAnsi="Segoe UI" w:cs="Segoe UI"/>
      <w:sz w:val="18"/>
      <w:szCs w:val="18"/>
    </w:rPr>
  </w:style>
  <w:style w:type="paragraph" w:styleId="EndnoteText">
    <w:name w:val="endnote text"/>
    <w:basedOn w:val="Normal"/>
    <w:link w:val="EndnoteTextChar"/>
    <w:uiPriority w:val="99"/>
    <w:semiHidden/>
    <w:unhideWhenUsed/>
    <w:rsid w:val="003E49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944"/>
    <w:rPr>
      <w:sz w:val="20"/>
      <w:szCs w:val="20"/>
    </w:rPr>
  </w:style>
  <w:style w:type="character" w:styleId="EndnoteReference">
    <w:name w:val="endnote reference"/>
    <w:basedOn w:val="DefaultParagraphFont"/>
    <w:uiPriority w:val="99"/>
    <w:semiHidden/>
    <w:unhideWhenUsed/>
    <w:rsid w:val="003E4944"/>
    <w:rPr>
      <w:vertAlign w:val="superscript"/>
    </w:rPr>
  </w:style>
  <w:style w:type="character" w:styleId="Hyperlink">
    <w:name w:val="Hyperlink"/>
    <w:basedOn w:val="DefaultParagraphFont"/>
    <w:uiPriority w:val="99"/>
    <w:unhideWhenUsed/>
    <w:rsid w:val="003E4944"/>
    <w:rPr>
      <w:color w:val="0563C1" w:themeColor="hyperlink"/>
      <w:u w:val="single"/>
    </w:rPr>
  </w:style>
  <w:style w:type="character" w:styleId="Emphasis">
    <w:name w:val="Emphasis"/>
    <w:basedOn w:val="DefaultParagraphFont"/>
    <w:uiPriority w:val="20"/>
    <w:qFormat/>
    <w:rsid w:val="009740E8"/>
    <w:rPr>
      <w:i/>
      <w:iCs/>
    </w:rPr>
  </w:style>
  <w:style w:type="character" w:styleId="UnresolvedMention">
    <w:name w:val="Unresolved Mention"/>
    <w:basedOn w:val="DefaultParagraphFont"/>
    <w:uiPriority w:val="99"/>
    <w:semiHidden/>
    <w:unhideWhenUsed/>
    <w:rsid w:val="009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ancientrecipes.wordpress.com/2015/06/19/the-poor-mans-bees/" TargetMode="External"/><Relationship Id="rId2" Type="http://schemas.openxmlformats.org/officeDocument/2006/relationships/hyperlink" Target="http://www.forumromanum.org/literature/palladius/agr1.html" TargetMode="External"/><Relationship Id="rId1" Type="http://schemas.openxmlformats.org/officeDocument/2006/relationships/hyperlink" Target="https://www.corpusthomisticum.org/x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28F502-2556-463E-91BB-6D44D060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2019-04-12T17:07:00Z</cp:lastPrinted>
  <dcterms:created xsi:type="dcterms:W3CDTF">2020-11-10T20:57:00Z</dcterms:created>
  <dcterms:modified xsi:type="dcterms:W3CDTF">2020-11-10T23:41:00Z</dcterms:modified>
</cp:coreProperties>
</file>