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F9EE" w14:textId="77777777" w:rsidR="00B9284F" w:rsidRPr="00FB5CD4" w:rsidRDefault="00460BC0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t xml:space="preserve">255 </w:t>
      </w:r>
      <w:r w:rsidR="00EB236E" w:rsidRPr="00FB5CD4">
        <w:rPr>
          <w:rFonts w:cs="Times New Roman"/>
        </w:rPr>
        <w:t xml:space="preserve">Oblivion, </w:t>
      </w:r>
      <w:r w:rsidR="00BA4116" w:rsidRPr="00FB5CD4">
        <w:rPr>
          <w:rFonts w:cs="Times New Roman"/>
        </w:rPr>
        <w:t>Y</w:t>
      </w:r>
      <w:r w:rsidR="00EB236E" w:rsidRPr="00FB5CD4">
        <w:rPr>
          <w:rFonts w:cs="Times New Roman"/>
        </w:rPr>
        <w:t>ou have forgotten (</w:t>
      </w:r>
      <w:r w:rsidR="00EB236E" w:rsidRPr="00FB5CD4">
        <w:rPr>
          <w:rFonts w:cs="Times New Roman"/>
          <w:i/>
        </w:rPr>
        <w:t>Obliuio, obliuisti</w:t>
      </w:r>
      <w:r w:rsidR="00EB236E" w:rsidRPr="00FB5CD4">
        <w:rPr>
          <w:rFonts w:cs="Times New Roman"/>
        </w:rPr>
        <w:t>)</w:t>
      </w:r>
    </w:p>
    <w:p w14:paraId="19D9219D" w14:textId="3064AFBD" w:rsidR="00EB236E" w:rsidRPr="00FB5CD4" w:rsidRDefault="00EB236E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t xml:space="preserve">Somethings ought to be handed over to oblivion as injuries, some not as benefits. Concerning the first, Gen. 50[:17]: Jacob said to Joseph his son, “I beseech you to forget the wickedness of your brothers.” Wherefore Augustine, the fifth </w:t>
      </w:r>
      <w:r w:rsidRPr="00FB5CD4">
        <w:rPr>
          <w:rFonts w:cs="Times New Roman"/>
          <w:i/>
        </w:rPr>
        <w:t>Epist</w:t>
      </w:r>
      <w:r w:rsidR="00BA4116" w:rsidRPr="00FB5CD4">
        <w:rPr>
          <w:rFonts w:cs="Times New Roman"/>
          <w:i/>
        </w:rPr>
        <w:t>o</w:t>
      </w:r>
      <w:r w:rsidRPr="00FB5CD4">
        <w:rPr>
          <w:rFonts w:cs="Times New Roman"/>
          <w:i/>
        </w:rPr>
        <w:t>la</w:t>
      </w:r>
      <w:r w:rsidRPr="00FB5CD4">
        <w:rPr>
          <w:rFonts w:cs="Times New Roman"/>
        </w:rPr>
        <w:t>,</w:t>
      </w:r>
      <w:r w:rsidR="00B3719E" w:rsidRPr="00FB5CD4">
        <w:rPr>
          <w:rStyle w:val="EndnoteReference"/>
          <w:rFonts w:cs="Times New Roman"/>
        </w:rPr>
        <w:endnoteReference w:id="1"/>
      </w:r>
      <w:r w:rsidRPr="00FB5CD4">
        <w:rPr>
          <w:rFonts w:cs="Times New Roman"/>
        </w:rPr>
        <w:t xml:space="preserve"> narrates concerning J</w:t>
      </w:r>
      <w:r w:rsidR="004F23C7" w:rsidRPr="00FB5CD4">
        <w:rPr>
          <w:rFonts w:cs="Times New Roman"/>
        </w:rPr>
        <w:t>ulius Caesar that ne never forg</w:t>
      </w:r>
      <w:r w:rsidRPr="00FB5CD4">
        <w:rPr>
          <w:rFonts w:cs="Times New Roman"/>
        </w:rPr>
        <w:t xml:space="preserve">ot anything except injuries. Wherefore </w:t>
      </w:r>
      <w:r w:rsidR="00BA4116" w:rsidRPr="00FB5CD4">
        <w:rPr>
          <w:rFonts w:cs="Times New Roman"/>
        </w:rPr>
        <w:t>the</w:t>
      </w:r>
      <w:r w:rsidRPr="00FB5CD4">
        <w:rPr>
          <w:rFonts w:cs="Times New Roman"/>
        </w:rPr>
        <w:t xml:space="preserve"> Lord, Lev. 19 [:18]: </w:t>
      </w:r>
      <w:r w:rsidR="000624FC" w:rsidRPr="00FB5CD4">
        <w:rPr>
          <w:rFonts w:cs="Times New Roman"/>
        </w:rPr>
        <w:t>“Seek not revenge, nor be mindful of the injury of your citizens. You shall love your friend. I am the Lord.”</w:t>
      </w:r>
    </w:p>
    <w:p w14:paraId="39EB4B25" w14:textId="6C3B227E" w:rsidR="000624FC" w:rsidRPr="00FB5CD4" w:rsidRDefault="000624FC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t xml:space="preserve">Concerning the second, Seneca, book 3, </w:t>
      </w:r>
      <w:r w:rsidRPr="00FB5CD4">
        <w:rPr>
          <w:rFonts w:cs="Times New Roman"/>
          <w:i/>
        </w:rPr>
        <w:t>De beneficiis</w:t>
      </w:r>
      <w:r w:rsidRPr="00FB5CD4">
        <w:rPr>
          <w:rFonts w:cs="Times New Roman"/>
        </w:rPr>
        <w:t>,</w:t>
      </w:r>
      <w:r w:rsidR="00B3719E" w:rsidRPr="00FB5CD4">
        <w:rPr>
          <w:rStyle w:val="EndnoteReference"/>
          <w:rFonts w:cs="Times New Roman"/>
        </w:rPr>
        <w:endnoteReference w:id="2"/>
      </w:r>
      <w:r w:rsidRPr="00FB5CD4">
        <w:rPr>
          <w:rFonts w:cs="Times New Roman"/>
        </w:rPr>
        <w:t xml:space="preserve"> he is most ungrateful who has forgotten benefits received. Such was the butler of the Pharaoh, Gen. 40[:23]: “Who when things prospered with him, forgot his interpreter,” namely, Joseph. For frequently prosperity is the cause of forgetfulness, just as is evident concerning the raven</w:t>
      </w:r>
      <w:r w:rsidR="00125E2A" w:rsidRPr="00FB5CD4">
        <w:rPr>
          <w:rFonts w:cs="Times New Roman"/>
        </w:rPr>
        <w:t xml:space="preserve"> that Noah sent forth from the ark, which finding a corpse as a gift to him, he forgot to return</w:t>
      </w:r>
      <w:r w:rsidR="001360F9" w:rsidRPr="00FB5CD4">
        <w:rPr>
          <w:rFonts w:cs="Times New Roman"/>
        </w:rPr>
        <w:t xml:space="preserve"> [Gen. 8:6-7]</w:t>
      </w:r>
      <w:r w:rsidR="00125E2A" w:rsidRPr="00FB5CD4">
        <w:rPr>
          <w:rFonts w:cs="Times New Roman"/>
        </w:rPr>
        <w:t>.</w:t>
      </w:r>
    </w:p>
    <w:p w14:paraId="12AE8C62" w14:textId="6291E6D5" w:rsidR="00125E2A" w:rsidRPr="00FB5CD4" w:rsidRDefault="00125E2A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t>¶ The figure for this,</w:t>
      </w:r>
      <w:r w:rsidR="00F837F1" w:rsidRPr="00FB5CD4">
        <w:rPr>
          <w:rStyle w:val="EndnoteReference"/>
          <w:rFonts w:cs="Times New Roman"/>
        </w:rPr>
        <w:endnoteReference w:id="3"/>
      </w:r>
      <w:r w:rsidRPr="00FB5CD4">
        <w:rPr>
          <w:rFonts w:cs="Times New Roman"/>
        </w:rPr>
        <w:t xml:space="preserve"> Gen. 41[:51-53]: </w:t>
      </w:r>
      <w:r w:rsidR="004F23C7" w:rsidRPr="00FB5CD4">
        <w:rPr>
          <w:rFonts w:cs="Times New Roman"/>
        </w:rPr>
        <w:t>Manassas, who</w:t>
      </w:r>
      <w:r w:rsidRPr="00FB5CD4">
        <w:rPr>
          <w:rFonts w:cs="Times New Roman"/>
        </w:rPr>
        <w:t xml:space="preserve"> is interpreted as forgetfulness, followed </w:t>
      </w:r>
      <w:r w:rsidR="004F23C7" w:rsidRPr="00FB5CD4">
        <w:rPr>
          <w:rFonts w:cs="Times New Roman"/>
        </w:rPr>
        <w:t>Ephraim</w:t>
      </w:r>
      <w:r w:rsidRPr="00FB5CD4">
        <w:rPr>
          <w:rFonts w:cs="Times New Roman"/>
        </w:rPr>
        <w:t xml:space="preserve">, who is interpreted as </w:t>
      </w:r>
      <w:r w:rsidR="004F23C7" w:rsidRPr="00FB5CD4">
        <w:rPr>
          <w:rFonts w:cs="Times New Roman"/>
        </w:rPr>
        <w:t>fruitful</w:t>
      </w:r>
      <w:r w:rsidRPr="00FB5CD4">
        <w:rPr>
          <w:rFonts w:cs="Times New Roman"/>
        </w:rPr>
        <w:t>, that is, abundance.</w:t>
      </w:r>
      <w:bookmarkStart w:id="0" w:name="_GoBack"/>
      <w:bookmarkEnd w:id="0"/>
    </w:p>
    <w:p w14:paraId="4D4C3915" w14:textId="77777777" w:rsidR="00125E2A" w:rsidRPr="00FB5CD4" w:rsidRDefault="00BA4116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t>Again,</w:t>
      </w:r>
      <w:r w:rsidR="00125E2A" w:rsidRPr="00FB5CD4">
        <w:rPr>
          <w:rFonts w:cs="Times New Roman"/>
        </w:rPr>
        <w:t xml:space="preserve"> the hen in autumn finding where there is an abundance forgets to return to her mistress</w:t>
      </w:r>
      <w:r w:rsidR="00F54303" w:rsidRPr="00FB5CD4">
        <w:rPr>
          <w:rFonts w:cs="Times New Roman"/>
        </w:rPr>
        <w:t xml:space="preserve"> calling, who fed her in the winter, Osee 13[:6]: “They were </w:t>
      </w:r>
      <w:r w:rsidRPr="00FB5CD4">
        <w:rPr>
          <w:rFonts w:cs="Times New Roman"/>
        </w:rPr>
        <w:t>filled and</w:t>
      </w:r>
      <w:r w:rsidR="00F54303" w:rsidRPr="00FB5CD4">
        <w:rPr>
          <w:rFonts w:cs="Times New Roman"/>
        </w:rPr>
        <w:t xml:space="preserve"> were made full: and they lifted up their </w:t>
      </w:r>
      <w:r w:rsidRPr="00FB5CD4">
        <w:rPr>
          <w:rFonts w:cs="Times New Roman"/>
        </w:rPr>
        <w:t>heart and</w:t>
      </w:r>
      <w:r w:rsidR="00F54303" w:rsidRPr="00FB5CD4">
        <w:rPr>
          <w:rFonts w:cs="Times New Roman"/>
        </w:rPr>
        <w:t xml:space="preserve"> have forgotten me.”</w:t>
      </w:r>
    </w:p>
    <w:p w14:paraId="0036BE4A" w14:textId="5A50503A" w:rsidR="00F54303" w:rsidRPr="00FB5CD4" w:rsidRDefault="00F54303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t xml:space="preserve">¶ When some person is elevated to a place of eminence, </w:t>
      </w:r>
      <w:r w:rsidR="001360F9" w:rsidRPr="00FB5CD4">
        <w:rPr>
          <w:rFonts w:cs="Times New Roman"/>
        </w:rPr>
        <w:t>then</w:t>
      </w:r>
      <w:r w:rsidRPr="00FB5CD4">
        <w:rPr>
          <w:rFonts w:cs="Times New Roman"/>
        </w:rPr>
        <w:t xml:space="preserve"> things under him seem small, so it is concerning a man whose heart is </w:t>
      </w:r>
      <w:r w:rsidR="004F23C7" w:rsidRPr="00FB5CD4">
        <w:rPr>
          <w:rFonts w:cs="Times New Roman"/>
        </w:rPr>
        <w:t>elevated</w:t>
      </w:r>
      <w:r w:rsidRPr="00FB5CD4">
        <w:rPr>
          <w:rFonts w:cs="Times New Roman"/>
        </w:rPr>
        <w:t xml:space="preserve"> through pride, Gregory, 27, </w:t>
      </w:r>
      <w:r w:rsidRPr="00FB5CD4">
        <w:rPr>
          <w:rFonts w:cs="Times New Roman"/>
          <w:i/>
        </w:rPr>
        <w:t>Moralium</w:t>
      </w:r>
      <w:r w:rsidR="00B3719E" w:rsidRPr="00FB5CD4">
        <w:rPr>
          <w:rFonts w:cs="Times New Roman"/>
          <w:iCs/>
        </w:rPr>
        <w:t>,</w:t>
      </w:r>
      <w:r w:rsidR="00B3719E" w:rsidRPr="00FB5CD4">
        <w:rPr>
          <w:rStyle w:val="EndnoteReference"/>
          <w:rFonts w:cs="Times New Roman"/>
          <w:iCs/>
        </w:rPr>
        <w:endnoteReference w:id="4"/>
      </w:r>
      <w:r w:rsidRPr="00FB5CD4">
        <w:rPr>
          <w:rFonts w:cs="Times New Roman"/>
        </w:rPr>
        <w:t xml:space="preserve"> says therefore a man dying justly returns into the </w:t>
      </w:r>
      <w:r w:rsidR="004F23C7" w:rsidRPr="00FB5CD4">
        <w:rPr>
          <w:rFonts w:cs="Times New Roman"/>
        </w:rPr>
        <w:t>earth</w:t>
      </w:r>
      <w:r w:rsidRPr="00FB5CD4">
        <w:rPr>
          <w:rFonts w:cs="Times New Roman"/>
        </w:rPr>
        <w:t xml:space="preserve"> because he has forgotten he was of the earth. It is read in the </w:t>
      </w:r>
      <w:r w:rsidRPr="00FB5CD4">
        <w:rPr>
          <w:rFonts w:cs="Times New Roman"/>
          <w:i/>
        </w:rPr>
        <w:t>Vitis Patrum</w:t>
      </w:r>
      <w:r w:rsidRPr="00FB5CD4">
        <w:rPr>
          <w:rFonts w:cs="Times New Roman"/>
        </w:rPr>
        <w:t>,</w:t>
      </w:r>
      <w:r w:rsidR="00B3719E" w:rsidRPr="00FB5CD4">
        <w:rPr>
          <w:rStyle w:val="EndnoteReference"/>
          <w:rFonts w:cs="Times New Roman"/>
        </w:rPr>
        <w:endnoteReference w:id="5"/>
      </w:r>
      <w:r w:rsidRPr="00FB5CD4">
        <w:rPr>
          <w:rFonts w:cs="Times New Roman"/>
        </w:rPr>
        <w:t xml:space="preserve"> that </w:t>
      </w:r>
      <w:r w:rsidR="000A5E72" w:rsidRPr="00FB5CD4">
        <w:rPr>
          <w:rFonts w:cs="Times New Roman"/>
        </w:rPr>
        <w:t>the three arms of Satan are namely, forgetfulness,</w:t>
      </w:r>
    </w:p>
    <w:p w14:paraId="23319AE5" w14:textId="7A458C49" w:rsidR="00EB236E" w:rsidRPr="00FB5CD4" w:rsidRDefault="000A5E72" w:rsidP="00EB236E">
      <w:pPr>
        <w:spacing w:line="480" w:lineRule="auto"/>
        <w:rPr>
          <w:rFonts w:cs="Times New Roman"/>
        </w:rPr>
      </w:pPr>
      <w:r w:rsidRPr="00FB5CD4">
        <w:rPr>
          <w:rFonts w:cs="Times New Roman"/>
        </w:rPr>
        <w:lastRenderedPageBreak/>
        <w:t xml:space="preserve">negligence, and concupiscence. Forgetfulness is the mother of negligence. From negligence in truth arises concupiscence, from concupiscence man is ruined. Wherefore Augustine says in the </w:t>
      </w:r>
      <w:r w:rsidRPr="00FB5CD4">
        <w:rPr>
          <w:rFonts w:cs="Times New Roman"/>
          <w:i/>
        </w:rPr>
        <w:t>Regula clericorum</w:t>
      </w:r>
      <w:r w:rsidR="00B3719E" w:rsidRPr="00FB5CD4">
        <w:rPr>
          <w:rFonts w:cs="Times New Roman"/>
          <w:iCs/>
        </w:rPr>
        <w:t>,</w:t>
      </w:r>
      <w:r w:rsidR="00B3719E" w:rsidRPr="00FB5CD4">
        <w:rPr>
          <w:rStyle w:val="EndnoteReference"/>
          <w:rFonts w:cs="Times New Roman"/>
          <w:iCs/>
        </w:rPr>
        <w:endnoteReference w:id="6"/>
      </w:r>
      <w:r w:rsidRPr="00FB5CD4">
        <w:rPr>
          <w:rFonts w:cs="Times New Roman"/>
        </w:rPr>
        <w:t xml:space="preserve"> lest through forgetfulness anything is neglected.</w:t>
      </w:r>
    </w:p>
    <w:sectPr w:rsidR="00EB236E" w:rsidRPr="00FB5CD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DC79" w14:textId="77777777" w:rsidR="00B3719E" w:rsidRDefault="00B3719E" w:rsidP="00B3719E">
      <w:pPr>
        <w:spacing w:after="0" w:line="240" w:lineRule="auto"/>
      </w:pPr>
      <w:r>
        <w:separator/>
      </w:r>
    </w:p>
  </w:endnote>
  <w:endnote w:type="continuationSeparator" w:id="0">
    <w:p w14:paraId="2D9A0F32" w14:textId="77777777" w:rsidR="00B3719E" w:rsidRDefault="00B3719E" w:rsidP="00B3719E">
      <w:pPr>
        <w:spacing w:after="0" w:line="240" w:lineRule="auto"/>
      </w:pPr>
      <w:r>
        <w:continuationSeparator/>
      </w:r>
    </w:p>
  </w:endnote>
  <w:endnote w:id="1">
    <w:p w14:paraId="21B6AC8B" w14:textId="1E9F5FC9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  <w:r w:rsidRPr="00F837F1">
        <w:rPr>
          <w:rStyle w:val="EndnoteReference"/>
          <w:rFonts w:cs="Times New Roman"/>
          <w:sz w:val="24"/>
          <w:szCs w:val="24"/>
        </w:rPr>
        <w:endnoteRef/>
      </w:r>
      <w:r w:rsidRPr="00F837F1">
        <w:rPr>
          <w:rFonts w:cs="Times New Roman"/>
          <w:sz w:val="24"/>
          <w:szCs w:val="24"/>
        </w:rPr>
        <w:t xml:space="preserve"> </w:t>
      </w:r>
      <w:r w:rsidRPr="00F837F1">
        <w:rPr>
          <w:rFonts w:cs="Times New Roman"/>
          <w:sz w:val="24"/>
          <w:szCs w:val="24"/>
        </w:rPr>
        <w:t xml:space="preserve">Augustine, </w:t>
      </w:r>
      <w:r w:rsidRPr="00F837F1">
        <w:rPr>
          <w:rFonts w:cs="Times New Roman"/>
          <w:i/>
          <w:sz w:val="24"/>
          <w:szCs w:val="24"/>
        </w:rPr>
        <w:t>Epistola</w:t>
      </w:r>
      <w:r w:rsidRPr="00F837F1">
        <w:rPr>
          <w:rFonts w:cs="Times New Roman"/>
          <w:sz w:val="24"/>
          <w:szCs w:val="24"/>
        </w:rPr>
        <w:t xml:space="preserve"> 138.2.9 (PL 33:529): quomodo Caesari administratori utique reipublicae, mores ejus extollens Cicero dicebat, quod nihil oblivisci soleret nisi injurias (Orat. pro Q. Ligario.)?</w:t>
      </w:r>
    </w:p>
    <w:p w14:paraId="632A6394" w14:textId="77777777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33A73409" w14:textId="4A93B631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  <w:r w:rsidRPr="00F837F1">
        <w:rPr>
          <w:rStyle w:val="EndnoteReference"/>
          <w:rFonts w:cs="Times New Roman"/>
          <w:sz w:val="24"/>
          <w:szCs w:val="24"/>
        </w:rPr>
        <w:endnoteRef/>
      </w:r>
      <w:r w:rsidRPr="00F837F1">
        <w:rPr>
          <w:rFonts w:cs="Times New Roman"/>
          <w:sz w:val="24"/>
          <w:szCs w:val="24"/>
        </w:rPr>
        <w:t xml:space="preserve"> </w:t>
      </w:r>
      <w:r w:rsidRPr="00F837F1">
        <w:rPr>
          <w:rFonts w:cs="Times New Roman"/>
          <w:sz w:val="24"/>
          <w:szCs w:val="24"/>
        </w:rPr>
        <w:t xml:space="preserve">Seneca, </w:t>
      </w:r>
      <w:r w:rsidRPr="00F837F1">
        <w:rPr>
          <w:rFonts w:cs="Times New Roman"/>
          <w:i/>
          <w:sz w:val="24"/>
          <w:szCs w:val="24"/>
        </w:rPr>
        <w:t>De beneficiis</w:t>
      </w:r>
      <w:r w:rsidRPr="00F837F1">
        <w:rPr>
          <w:rFonts w:cs="Times New Roman"/>
          <w:sz w:val="24"/>
          <w:szCs w:val="24"/>
        </w:rPr>
        <w:t xml:space="preserve"> 3.5.2 (LCL 310:134-135): perveniunt deinde eo, quo, ut ego existimo, pessimus quisque atque ingratissimus pervenit, ut obliviscantur.</w:t>
      </w:r>
    </w:p>
    <w:p w14:paraId="1FC16539" w14:textId="05322434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</w:p>
    <w:p w14:paraId="725264E3" w14:textId="77777777" w:rsidR="00B3719E" w:rsidRPr="00F837F1" w:rsidRDefault="00B3719E" w:rsidP="00B3719E">
      <w:pPr>
        <w:pStyle w:val="EndnoteText"/>
        <w:rPr>
          <w:rFonts w:cs="Times New Roman"/>
          <w:sz w:val="24"/>
          <w:szCs w:val="24"/>
        </w:rPr>
      </w:pPr>
      <w:r w:rsidRPr="00F837F1">
        <w:rPr>
          <w:rFonts w:cs="Times New Roman"/>
          <w:sz w:val="24"/>
          <w:szCs w:val="24"/>
        </w:rPr>
        <w:t>and then they reach the state, to which, in my opinion, all the worst and the most ungrateful men come—they grow forgetful.</w:t>
      </w:r>
    </w:p>
    <w:p w14:paraId="6FA399DB" w14:textId="77777777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</w:p>
  </w:endnote>
  <w:endnote w:id="3">
    <w:p w14:paraId="12516A39" w14:textId="14E91676" w:rsidR="00F837F1" w:rsidRPr="00F837F1" w:rsidRDefault="00F837F1">
      <w:pPr>
        <w:pStyle w:val="EndnoteText"/>
        <w:rPr>
          <w:sz w:val="24"/>
          <w:szCs w:val="24"/>
        </w:rPr>
      </w:pPr>
      <w:r w:rsidRPr="00F837F1">
        <w:rPr>
          <w:rStyle w:val="EndnoteReference"/>
          <w:sz w:val="24"/>
          <w:szCs w:val="24"/>
        </w:rPr>
        <w:endnoteRef/>
      </w:r>
      <w:r w:rsidRPr="00F837F1">
        <w:rPr>
          <w:sz w:val="24"/>
          <w:szCs w:val="24"/>
        </w:rPr>
        <w:t xml:space="preserve"> Cf. William</w:t>
      </w:r>
      <w:r>
        <w:rPr>
          <w:sz w:val="24"/>
          <w:szCs w:val="24"/>
        </w:rPr>
        <w:t xml:space="preserve"> de Lancea, </w:t>
      </w:r>
      <w:r>
        <w:rPr>
          <w:i/>
          <w:iCs/>
          <w:sz w:val="24"/>
          <w:szCs w:val="24"/>
        </w:rPr>
        <w:t>Diaetae salutis</w:t>
      </w:r>
      <w:r>
        <w:rPr>
          <w:sz w:val="24"/>
          <w:szCs w:val="24"/>
        </w:rPr>
        <w:t xml:space="preserve"> 1.6 (8:256b-257a): Septimo facit hominem obliviosum propriae salutis; et in signum hujus Manasses et Ephraim fuerunt fratres, but habetur in Genesi. Manasses interpretatur </w:t>
      </w:r>
      <w:r>
        <w:rPr>
          <w:i/>
          <w:iCs/>
          <w:sz w:val="24"/>
          <w:szCs w:val="24"/>
        </w:rPr>
        <w:t>oblivio</w:t>
      </w:r>
      <w:r>
        <w:rPr>
          <w:sz w:val="24"/>
          <w:szCs w:val="24"/>
        </w:rPr>
        <w:t xml:space="preserve">: Epharim </w:t>
      </w:r>
      <w:r>
        <w:rPr>
          <w:i/>
          <w:iCs/>
          <w:sz w:val="24"/>
          <w:szCs w:val="24"/>
        </w:rPr>
        <w:t>fructificns</w:t>
      </w:r>
      <w:r>
        <w:rPr>
          <w:sz w:val="24"/>
          <w:szCs w:val="24"/>
        </w:rPr>
        <w:t xml:space="preserve">, vel </w:t>
      </w:r>
      <w:r>
        <w:rPr>
          <w:i/>
          <w:iCs/>
          <w:sz w:val="24"/>
          <w:szCs w:val="24"/>
        </w:rPr>
        <w:t>crescens</w:t>
      </w:r>
      <w:r>
        <w:rPr>
          <w:sz w:val="24"/>
          <w:szCs w:val="24"/>
        </w:rPr>
        <w:t>, et figurat avarum, qui est crescens (</w:t>
      </w:r>
      <w:r>
        <w:rPr>
          <w:i/>
          <w:iCs/>
          <w:sz w:val="24"/>
          <w:szCs w:val="24"/>
        </w:rPr>
        <w:t>Ephraim</w:t>
      </w:r>
      <w:r>
        <w:rPr>
          <w:sz w:val="24"/>
          <w:szCs w:val="24"/>
        </w:rPr>
        <w:t xml:space="preserve">), id est, in divitiis; et est </w:t>
      </w:r>
      <w:r>
        <w:rPr>
          <w:i/>
          <w:iCs/>
          <w:sz w:val="24"/>
          <w:szCs w:val="24"/>
        </w:rPr>
        <w:t>Manasses</w:t>
      </w:r>
      <w:r>
        <w:rPr>
          <w:sz w:val="24"/>
          <w:szCs w:val="24"/>
        </w:rPr>
        <w:t>, qui scilicet obliviscitur propriae salutis.</w:t>
      </w:r>
    </w:p>
    <w:p w14:paraId="03170DB4" w14:textId="77777777" w:rsidR="00F837F1" w:rsidRPr="00F837F1" w:rsidRDefault="00F837F1">
      <w:pPr>
        <w:pStyle w:val="EndnoteText"/>
        <w:rPr>
          <w:sz w:val="24"/>
          <w:szCs w:val="24"/>
        </w:rPr>
      </w:pPr>
    </w:p>
  </w:endnote>
  <w:endnote w:id="4">
    <w:p w14:paraId="2EF0A88B" w14:textId="0B51AF7B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  <w:r w:rsidRPr="00F837F1">
        <w:rPr>
          <w:rStyle w:val="EndnoteReference"/>
          <w:rFonts w:cs="Times New Roman"/>
          <w:sz w:val="24"/>
          <w:szCs w:val="24"/>
        </w:rPr>
        <w:endnoteRef/>
      </w:r>
      <w:r w:rsidRPr="00F837F1">
        <w:rPr>
          <w:rFonts w:cs="Times New Roman"/>
          <w:sz w:val="24"/>
          <w:szCs w:val="24"/>
        </w:rPr>
        <w:t xml:space="preserve"> </w:t>
      </w:r>
      <w:bookmarkStart w:id="1" w:name="_Hlk5278078"/>
      <w:r w:rsidRPr="00F837F1">
        <w:rPr>
          <w:rFonts w:cs="Times New Roman"/>
          <w:sz w:val="24"/>
          <w:szCs w:val="24"/>
        </w:rPr>
        <w:t xml:space="preserve">Gregory, </w:t>
      </w:r>
      <w:r w:rsidRPr="00F837F1">
        <w:rPr>
          <w:rFonts w:cs="Times New Roman"/>
          <w:i/>
          <w:sz w:val="24"/>
          <w:szCs w:val="24"/>
        </w:rPr>
        <w:t>Moralia</w:t>
      </w:r>
      <w:r w:rsidRPr="00F837F1">
        <w:rPr>
          <w:rFonts w:cs="Times New Roman"/>
          <w:sz w:val="24"/>
          <w:szCs w:val="24"/>
        </w:rPr>
        <w:t xml:space="preserve"> 29.10.21 (PL 76:488)</w:t>
      </w:r>
      <w:bookmarkEnd w:id="1"/>
      <w:r w:rsidRPr="00F837F1">
        <w:rPr>
          <w:rFonts w:cs="Times New Roman"/>
          <w:sz w:val="24"/>
          <w:szCs w:val="24"/>
        </w:rPr>
        <w:t>: moriendo vero ad limi sui materiam redit, recte dicitur: Restituetur ut lutum signaculum.</w:t>
      </w:r>
    </w:p>
    <w:p w14:paraId="57C5C80A" w14:textId="77777777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</w:p>
  </w:endnote>
  <w:endnote w:id="5">
    <w:p w14:paraId="599816FA" w14:textId="77777777" w:rsidR="00B3719E" w:rsidRPr="00F837F1" w:rsidRDefault="00B3719E" w:rsidP="00B3719E">
      <w:pPr>
        <w:pStyle w:val="EndnoteText"/>
        <w:rPr>
          <w:rFonts w:cs="Times New Roman"/>
          <w:sz w:val="24"/>
          <w:szCs w:val="24"/>
        </w:rPr>
      </w:pPr>
      <w:r w:rsidRPr="00F837F1">
        <w:rPr>
          <w:rStyle w:val="EndnoteReference"/>
          <w:rFonts w:cs="Times New Roman"/>
          <w:sz w:val="24"/>
          <w:szCs w:val="24"/>
        </w:rPr>
        <w:endnoteRef/>
      </w:r>
      <w:r w:rsidRPr="00F837F1">
        <w:rPr>
          <w:rFonts w:cs="Times New Roman"/>
          <w:sz w:val="24"/>
          <w:szCs w:val="24"/>
        </w:rPr>
        <w:t xml:space="preserve"> </w:t>
      </w:r>
      <w:bookmarkStart w:id="2" w:name="_Hlk5278223"/>
      <w:r w:rsidRPr="00F837F1">
        <w:rPr>
          <w:rFonts w:cs="Times New Roman"/>
          <w:i/>
          <w:sz w:val="24"/>
          <w:szCs w:val="24"/>
        </w:rPr>
        <w:t>Vitae Patrum,</w:t>
      </w:r>
      <w:r w:rsidRPr="00F837F1">
        <w:rPr>
          <w:rFonts w:cs="Times New Roman"/>
          <w:sz w:val="24"/>
          <w:szCs w:val="24"/>
        </w:rPr>
        <w:t xml:space="preserve"> Verba Seniorum 11.46. (PL 73:939)</w:t>
      </w:r>
      <w:bookmarkEnd w:id="2"/>
      <w:r w:rsidRPr="00F837F1">
        <w:rPr>
          <w:rFonts w:cs="Times New Roman"/>
          <w:sz w:val="24"/>
          <w:szCs w:val="24"/>
        </w:rPr>
        <w:t>: Dicebat senex: Quia tres virtutes Satanae, quae [Col.0939C] praecedunt universa peccata: prima oblivionis, secunda negligentiae, tertia concupiscentiae. Etenim si oblivio venerit, generat negligentiam; de negligentia vero concupiscentia nascitur; de concupiscentia vero corruit homo. Si enim ita est sobria mens, ut oblivionem respuat, ad negligentiam non venit; et si non neglexerit concupiscentiam non recipit; si vero concupiscentiam non recipit, nunquam cadet opitulante Christi gratia.</w:t>
      </w:r>
    </w:p>
    <w:p w14:paraId="5622AE9D" w14:textId="3AB64B83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</w:p>
  </w:endnote>
  <w:endnote w:id="6">
    <w:p w14:paraId="5923CBF9" w14:textId="41970B14" w:rsidR="00B3719E" w:rsidRPr="00F837F1" w:rsidRDefault="00B3719E">
      <w:pPr>
        <w:pStyle w:val="EndnoteText"/>
        <w:rPr>
          <w:rFonts w:cs="Times New Roman"/>
          <w:sz w:val="24"/>
          <w:szCs w:val="24"/>
        </w:rPr>
      </w:pPr>
      <w:r w:rsidRPr="00F837F1">
        <w:rPr>
          <w:rStyle w:val="EndnoteReference"/>
          <w:rFonts w:cs="Times New Roman"/>
          <w:sz w:val="24"/>
          <w:szCs w:val="24"/>
        </w:rPr>
        <w:endnoteRef/>
      </w:r>
      <w:r w:rsidRPr="00F837F1">
        <w:rPr>
          <w:rFonts w:cs="Times New Roman"/>
          <w:sz w:val="24"/>
          <w:szCs w:val="24"/>
        </w:rPr>
        <w:t xml:space="preserve"> </w:t>
      </w:r>
      <w:bookmarkStart w:id="3" w:name="_Hlk5278303"/>
      <w:r w:rsidRPr="00F837F1">
        <w:rPr>
          <w:rFonts w:cs="Times New Roman"/>
          <w:sz w:val="24"/>
          <w:szCs w:val="24"/>
        </w:rPr>
        <w:t xml:space="preserve">Augustine, </w:t>
      </w:r>
      <w:r w:rsidRPr="00F837F1">
        <w:rPr>
          <w:rFonts w:cs="Times New Roman"/>
          <w:i/>
          <w:sz w:val="24"/>
          <w:szCs w:val="24"/>
        </w:rPr>
        <w:t>Regula ad servos Dei</w:t>
      </w:r>
      <w:r w:rsidRPr="00F837F1">
        <w:rPr>
          <w:rFonts w:cs="Times New Roman"/>
          <w:sz w:val="24"/>
          <w:szCs w:val="24"/>
        </w:rPr>
        <w:t>, 12 (PL 32:1384)</w:t>
      </w:r>
      <w:bookmarkEnd w:id="3"/>
      <w:r w:rsidRPr="00F837F1">
        <w:rPr>
          <w:rFonts w:cs="Times New Roman"/>
          <w:sz w:val="24"/>
          <w:szCs w:val="24"/>
        </w:rPr>
        <w:t>: Ut autem vos in hoc libello tanquam in speculo possitis inspicere, ne per oblivionem aliquid negligatis, semel in septimana vobis legatur.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0059" w14:textId="77777777" w:rsidR="00B3719E" w:rsidRDefault="00B3719E" w:rsidP="00B3719E">
      <w:pPr>
        <w:spacing w:after="0" w:line="240" w:lineRule="auto"/>
      </w:pPr>
      <w:r>
        <w:separator/>
      </w:r>
    </w:p>
  </w:footnote>
  <w:footnote w:type="continuationSeparator" w:id="0">
    <w:p w14:paraId="29C69CD4" w14:textId="77777777" w:rsidR="00B3719E" w:rsidRDefault="00B3719E" w:rsidP="00B3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0"/>
    <w:rsid w:val="000624FC"/>
    <w:rsid w:val="000A2FA0"/>
    <w:rsid w:val="000A5E72"/>
    <w:rsid w:val="00125E2A"/>
    <w:rsid w:val="001360F9"/>
    <w:rsid w:val="0017175A"/>
    <w:rsid w:val="00460BC0"/>
    <w:rsid w:val="004F23C7"/>
    <w:rsid w:val="00986DFB"/>
    <w:rsid w:val="00B3719E"/>
    <w:rsid w:val="00B71DD9"/>
    <w:rsid w:val="00B9284F"/>
    <w:rsid w:val="00BA4116"/>
    <w:rsid w:val="00E94024"/>
    <w:rsid w:val="00EB236E"/>
    <w:rsid w:val="00F2351F"/>
    <w:rsid w:val="00F54303"/>
    <w:rsid w:val="00F837F1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CFDA"/>
  <w15:chartTrackingRefBased/>
  <w15:docId w15:val="{F289A904-92E9-4806-B0CC-A412AEA9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371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71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7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00C4B02-DE31-49F8-B396-F409540C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2019-04-04T19:15:00Z</cp:lastPrinted>
  <dcterms:created xsi:type="dcterms:W3CDTF">2020-11-02T20:42:00Z</dcterms:created>
  <dcterms:modified xsi:type="dcterms:W3CDTF">2020-11-02T21:18:00Z</dcterms:modified>
</cp:coreProperties>
</file>