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1421" w14:textId="77777777" w:rsidR="00B9284F" w:rsidRPr="009304B7" w:rsidRDefault="007E6199" w:rsidP="007E6199">
      <w:pPr>
        <w:spacing w:line="480" w:lineRule="auto"/>
        <w:rPr>
          <w:rFonts w:cs="Times New Roman"/>
        </w:rPr>
      </w:pPr>
      <w:r w:rsidRPr="009304B7">
        <w:rPr>
          <w:rFonts w:cs="Times New Roman"/>
        </w:rPr>
        <w:t>253 Marriage (</w:t>
      </w:r>
      <w:r w:rsidRPr="009304B7">
        <w:rPr>
          <w:rFonts w:cs="Times New Roman"/>
          <w:i/>
        </w:rPr>
        <w:t>Nupcie</w:t>
      </w:r>
      <w:r w:rsidRPr="009304B7">
        <w:rPr>
          <w:rFonts w:cs="Times New Roman"/>
        </w:rPr>
        <w:t>)</w:t>
      </w:r>
    </w:p>
    <w:p w14:paraId="4EDAFB39" w14:textId="1659CC21" w:rsidR="007E6199" w:rsidRPr="009304B7" w:rsidRDefault="0062559E" w:rsidP="007E6199">
      <w:pPr>
        <w:spacing w:line="480" w:lineRule="auto"/>
        <w:rPr>
          <w:rFonts w:cs="Times New Roman"/>
        </w:rPr>
      </w:pPr>
      <w:r w:rsidRPr="009304B7">
        <w:rPr>
          <w:rFonts w:cs="Times New Roman"/>
        </w:rPr>
        <w:t>That great marriage th</w:t>
      </w:r>
      <w:r w:rsidR="00547DCC" w:rsidRPr="009304B7">
        <w:rPr>
          <w:rFonts w:cs="Times New Roman"/>
        </w:rPr>
        <w:t>at</w:t>
      </w:r>
      <w:r w:rsidRPr="009304B7">
        <w:rPr>
          <w:rFonts w:cs="Times New Roman"/>
        </w:rPr>
        <w:t xml:space="preserve"> formerly was promised in Abraham, and sworn to David, and finally announced to the blessed Mary, it was reported in the adoration of the Magi. It was </w:t>
      </w:r>
      <w:r w:rsidR="00463A69" w:rsidRPr="009304B7">
        <w:rPr>
          <w:rFonts w:cs="Times New Roman"/>
        </w:rPr>
        <w:t>consummated</w:t>
      </w:r>
      <w:r w:rsidRPr="009304B7">
        <w:rPr>
          <w:rFonts w:cs="Times New Roman"/>
        </w:rPr>
        <w:t xml:space="preserve"> certainly, it was confirmed in the baptism of the Jordan, and declared in the miracle of the wine.</w:t>
      </w:r>
    </w:p>
    <w:p w14:paraId="41E48D41" w14:textId="176844D1" w:rsidR="0062559E" w:rsidRPr="009304B7" w:rsidRDefault="0062559E" w:rsidP="007E6199">
      <w:pPr>
        <w:spacing w:line="480" w:lineRule="auto"/>
        <w:rPr>
          <w:rFonts w:cs="Times New Roman"/>
        </w:rPr>
      </w:pPr>
      <w:r w:rsidRPr="009304B7">
        <w:rPr>
          <w:rFonts w:cs="Times New Roman"/>
        </w:rPr>
        <w:t xml:space="preserve">¶ Jerome narrated in his book, </w:t>
      </w:r>
      <w:r w:rsidRPr="009304B7">
        <w:rPr>
          <w:rFonts w:cs="Times New Roman"/>
          <w:i/>
        </w:rPr>
        <w:t>Contra Jouinianum</w:t>
      </w:r>
      <w:r w:rsidR="00F7013C" w:rsidRPr="009304B7">
        <w:rPr>
          <w:rFonts w:cs="Times New Roman"/>
          <w:iCs/>
        </w:rPr>
        <w:t>,</w:t>
      </w:r>
      <w:r w:rsidR="00F7013C" w:rsidRPr="009304B7">
        <w:rPr>
          <w:rStyle w:val="EndnoteReference"/>
          <w:rFonts w:cs="Times New Roman"/>
          <w:iCs/>
        </w:rPr>
        <w:endnoteReference w:id="1"/>
      </w:r>
      <w:r w:rsidRPr="009304B7">
        <w:rPr>
          <w:rFonts w:cs="Times New Roman"/>
        </w:rPr>
        <w:t xml:space="preserve"> </w:t>
      </w:r>
      <w:r w:rsidR="0039799F" w:rsidRPr="009304B7">
        <w:rPr>
          <w:rFonts w:cs="Times New Roman"/>
        </w:rPr>
        <w:t xml:space="preserve">concerning the meeting of three widows. Of whom the first </w:t>
      </w:r>
      <w:r w:rsidR="002D4F54" w:rsidRPr="009304B7">
        <w:rPr>
          <w:rFonts w:cs="Times New Roman"/>
        </w:rPr>
        <w:t>to</w:t>
      </w:r>
      <w:r w:rsidR="0039799F" w:rsidRPr="009304B7">
        <w:rPr>
          <w:rFonts w:cs="Times New Roman"/>
        </w:rPr>
        <w:t xml:space="preserve"> th</w:t>
      </w:r>
      <w:r w:rsidR="002D4F54" w:rsidRPr="009304B7">
        <w:rPr>
          <w:rFonts w:cs="Times New Roman"/>
        </w:rPr>
        <w:t>ose</w:t>
      </w:r>
      <w:r w:rsidR="0039799F" w:rsidRPr="009304B7">
        <w:rPr>
          <w:rFonts w:cs="Times New Roman"/>
        </w:rPr>
        <w:t xml:space="preserve"> offerings to her a man, thus responded, she could not find a man who wanted her more than her money.</w:t>
      </w:r>
    </w:p>
    <w:p w14:paraId="780BBE64" w14:textId="77777777" w:rsidR="0039799F" w:rsidRPr="009304B7" w:rsidRDefault="0039799F" w:rsidP="007E6199">
      <w:pPr>
        <w:spacing w:line="480" w:lineRule="auto"/>
        <w:rPr>
          <w:rFonts w:cs="Times New Roman"/>
        </w:rPr>
      </w:pPr>
      <w:r w:rsidRPr="009304B7">
        <w:rPr>
          <w:rFonts w:cs="Times New Roman"/>
        </w:rPr>
        <w:t xml:space="preserve">The second said she always held her first husband as still living. </w:t>
      </w:r>
      <w:r w:rsidR="00547DCC" w:rsidRPr="009304B7">
        <w:rPr>
          <w:rFonts w:cs="Times New Roman"/>
        </w:rPr>
        <w:t>Therefore,</w:t>
      </w:r>
      <w:r w:rsidRPr="009304B7">
        <w:rPr>
          <w:rFonts w:cs="Times New Roman"/>
        </w:rPr>
        <w:t xml:space="preserve"> she could not marry another again.</w:t>
      </w:r>
    </w:p>
    <w:p w14:paraId="759402FA" w14:textId="77777777" w:rsidR="0039799F" w:rsidRPr="009304B7" w:rsidRDefault="00E62B6F" w:rsidP="007E6199">
      <w:pPr>
        <w:spacing w:line="480" w:lineRule="auto"/>
        <w:rPr>
          <w:rFonts w:cs="Times New Roman"/>
        </w:rPr>
      </w:pPr>
      <w:r w:rsidRPr="009304B7">
        <w:rPr>
          <w:rFonts w:cs="Times New Roman"/>
        </w:rPr>
        <w:t xml:space="preserve">The third answered she did not wish to marry, for, if he was a good man, she always would fear to lose him. </w:t>
      </w:r>
      <w:r w:rsidR="00547DCC" w:rsidRPr="009304B7">
        <w:rPr>
          <w:rFonts w:cs="Times New Roman"/>
        </w:rPr>
        <w:t>If,</w:t>
      </w:r>
      <w:r w:rsidRPr="009304B7">
        <w:rPr>
          <w:rFonts w:cs="Times New Roman"/>
        </w:rPr>
        <w:t xml:space="preserve"> however he </w:t>
      </w:r>
      <w:r w:rsidR="00547DCC" w:rsidRPr="009304B7">
        <w:rPr>
          <w:rFonts w:cs="Times New Roman"/>
        </w:rPr>
        <w:t>was</w:t>
      </w:r>
      <w:r w:rsidRPr="009304B7">
        <w:rPr>
          <w:rFonts w:cs="Times New Roman"/>
        </w:rPr>
        <w:t xml:space="preserve"> a bad one, she would always sorrow that she had to put up with one so evil after one so good.</w:t>
      </w:r>
    </w:p>
    <w:p w14:paraId="4A432C60" w14:textId="110A0522" w:rsidR="00E62B6F" w:rsidRPr="009304B7" w:rsidRDefault="00E62B6F" w:rsidP="007E6199">
      <w:pPr>
        <w:spacing w:line="480" w:lineRule="auto"/>
        <w:rPr>
          <w:rFonts w:cs="Times New Roman"/>
        </w:rPr>
      </w:pPr>
      <w:r w:rsidRPr="009304B7">
        <w:rPr>
          <w:rFonts w:cs="Times New Roman"/>
        </w:rPr>
        <w:t>¶ Again, it is read in scriptures that there were four kinds of marriage.</w:t>
      </w:r>
      <w:r w:rsidR="00F7013C" w:rsidRPr="009304B7">
        <w:rPr>
          <w:rStyle w:val="EndnoteReference"/>
          <w:rFonts w:cs="Times New Roman"/>
        </w:rPr>
        <w:endnoteReference w:id="2"/>
      </w:r>
      <w:r w:rsidRPr="009304B7">
        <w:rPr>
          <w:rFonts w:cs="Times New Roman"/>
        </w:rPr>
        <w:t xml:space="preserve"> The first between the man and the legitimate woman. The second between Christ and the Church. The third between God and the just soul. The fourth between the Word and human nature.</w:t>
      </w:r>
    </w:p>
    <w:p w14:paraId="0E0A4CF3" w14:textId="5E6F86F5" w:rsidR="003241CB" w:rsidRPr="009304B7" w:rsidRDefault="003241CB" w:rsidP="007E6199">
      <w:pPr>
        <w:spacing w:line="480" w:lineRule="auto"/>
        <w:rPr>
          <w:rFonts w:cs="Times New Roman"/>
        </w:rPr>
      </w:pPr>
      <w:r w:rsidRPr="009304B7">
        <w:rPr>
          <w:rFonts w:cs="Times New Roman"/>
        </w:rPr>
        <w:t>Concerning the first,</w:t>
      </w:r>
      <w:r w:rsidR="00F7013C" w:rsidRPr="009304B7">
        <w:rPr>
          <w:rStyle w:val="EndnoteReference"/>
          <w:rFonts w:cs="Times New Roman"/>
        </w:rPr>
        <w:endnoteReference w:id="3"/>
      </w:r>
      <w:r w:rsidRPr="009304B7">
        <w:rPr>
          <w:rFonts w:cs="Times New Roman"/>
        </w:rPr>
        <w:t xml:space="preserve"> it is said in Gen. [2:24]: “Wherefore a man shall leave father and </w:t>
      </w:r>
      <w:r w:rsidR="00547DCC" w:rsidRPr="009304B7">
        <w:rPr>
          <w:rFonts w:cs="Times New Roman"/>
        </w:rPr>
        <w:t>mother and</w:t>
      </w:r>
      <w:r w:rsidRPr="009304B7">
        <w:rPr>
          <w:rFonts w:cs="Times New Roman"/>
        </w:rPr>
        <w:t xml:space="preserve"> shall cleave to his wife.”</w:t>
      </w:r>
    </w:p>
    <w:p w14:paraId="3C36B33C" w14:textId="4DD5DACE" w:rsidR="003241CB" w:rsidRPr="009304B7" w:rsidRDefault="003241CB" w:rsidP="007E6199">
      <w:pPr>
        <w:spacing w:line="480" w:lineRule="auto"/>
        <w:rPr>
          <w:rFonts w:cs="Times New Roman"/>
        </w:rPr>
      </w:pPr>
      <w:r w:rsidRPr="009304B7">
        <w:rPr>
          <w:rFonts w:cs="Times New Roman"/>
        </w:rPr>
        <w:t>Concerning the second,</w:t>
      </w:r>
      <w:r w:rsidR="00F7013C" w:rsidRPr="009304B7">
        <w:rPr>
          <w:rStyle w:val="EndnoteReference"/>
          <w:rFonts w:cs="Times New Roman"/>
        </w:rPr>
        <w:endnoteReference w:id="4"/>
      </w:r>
      <w:r w:rsidRPr="009304B7">
        <w:rPr>
          <w:rFonts w:cs="Times New Roman"/>
        </w:rPr>
        <w:t xml:space="preserve"> it is said in Apo. [21:9]: “I will show you the bride, the wife of the Lamb.”</w:t>
      </w:r>
    </w:p>
    <w:p w14:paraId="1986DE0A" w14:textId="37C2E3DB" w:rsidR="003241CB" w:rsidRPr="009304B7" w:rsidRDefault="003241CB" w:rsidP="007E6199">
      <w:pPr>
        <w:spacing w:line="480" w:lineRule="auto"/>
        <w:rPr>
          <w:rFonts w:cs="Times New Roman"/>
        </w:rPr>
      </w:pPr>
      <w:r w:rsidRPr="009304B7">
        <w:rPr>
          <w:rFonts w:cs="Times New Roman"/>
        </w:rPr>
        <w:t>Concerning the third,</w:t>
      </w:r>
      <w:r w:rsidR="00F7013C" w:rsidRPr="009304B7">
        <w:rPr>
          <w:rStyle w:val="EndnoteReference"/>
          <w:rFonts w:cs="Times New Roman"/>
        </w:rPr>
        <w:endnoteReference w:id="5"/>
      </w:r>
      <w:r w:rsidRPr="009304B7">
        <w:rPr>
          <w:rFonts w:cs="Times New Roman"/>
        </w:rPr>
        <w:t xml:space="preserve"> Osee [2:19]: “I will espouse you to me in justice, and judgment.”</w:t>
      </w:r>
    </w:p>
    <w:p w14:paraId="6600E5EB" w14:textId="105A71FC" w:rsidR="003241CB" w:rsidRPr="009304B7" w:rsidRDefault="003241CB" w:rsidP="007E6199">
      <w:pPr>
        <w:spacing w:line="480" w:lineRule="auto"/>
        <w:rPr>
          <w:rFonts w:cs="Times New Roman"/>
        </w:rPr>
      </w:pPr>
      <w:r w:rsidRPr="009304B7">
        <w:rPr>
          <w:rFonts w:cs="Times New Roman"/>
        </w:rPr>
        <w:lastRenderedPageBreak/>
        <w:t>Concerning the fourth,</w:t>
      </w:r>
      <w:r w:rsidR="00F7013C" w:rsidRPr="009304B7">
        <w:rPr>
          <w:rStyle w:val="EndnoteReference"/>
          <w:rFonts w:cs="Times New Roman"/>
        </w:rPr>
        <w:endnoteReference w:id="6"/>
      </w:r>
      <w:r w:rsidRPr="009304B7">
        <w:rPr>
          <w:rFonts w:cs="Times New Roman"/>
        </w:rPr>
        <w:t xml:space="preserve"> Can. [3:11]: “Go forth and see king Solomon in the diadem, wherewith his mother crowned him in the day of his espousals, and in the day of the joy of his heart.</w:t>
      </w:r>
      <w:r w:rsidR="007E2ECA" w:rsidRPr="009304B7">
        <w:rPr>
          <w:rFonts w:cs="Times New Roman"/>
        </w:rPr>
        <w:t>”</w:t>
      </w:r>
    </w:p>
    <w:p w14:paraId="4B8162BB" w14:textId="4997BCB0" w:rsidR="007E2ECA" w:rsidRPr="009304B7" w:rsidRDefault="007E2ECA" w:rsidP="007E6199">
      <w:pPr>
        <w:spacing w:line="480" w:lineRule="auto"/>
        <w:rPr>
          <w:rFonts w:cs="Times New Roman"/>
        </w:rPr>
      </w:pPr>
      <w:r w:rsidRPr="009304B7">
        <w:rPr>
          <w:rFonts w:cs="Times New Roman"/>
        </w:rPr>
        <w:t>Through the first nuptials</w:t>
      </w:r>
      <w:r w:rsidR="00F7013C" w:rsidRPr="009304B7">
        <w:rPr>
          <w:rStyle w:val="EndnoteReference"/>
          <w:rFonts w:cs="Times New Roman"/>
        </w:rPr>
        <w:endnoteReference w:id="7"/>
      </w:r>
      <w:r w:rsidRPr="009304B7">
        <w:rPr>
          <w:rFonts w:cs="Times New Roman"/>
        </w:rPr>
        <w:t xml:space="preserve"> was </w:t>
      </w:r>
      <w:r w:rsidR="00463A69" w:rsidRPr="009304B7">
        <w:rPr>
          <w:rFonts w:cs="Times New Roman"/>
        </w:rPr>
        <w:t>made</w:t>
      </w:r>
      <w:r w:rsidRPr="009304B7">
        <w:rPr>
          <w:rFonts w:cs="Times New Roman"/>
        </w:rPr>
        <w:t xml:space="preserve"> two in one flesh. Through the second two in one body. Through the third was made that two be in one spirit. Through the fourth that they be in one person.</w:t>
      </w:r>
    </w:p>
    <w:p w14:paraId="3DB56B29" w14:textId="77777777" w:rsidR="007E2ECA" w:rsidRPr="009304B7" w:rsidRDefault="007E2ECA" w:rsidP="007E6199">
      <w:pPr>
        <w:spacing w:line="480" w:lineRule="auto"/>
        <w:rPr>
          <w:rFonts w:cs="Times New Roman"/>
        </w:rPr>
      </w:pPr>
      <w:r w:rsidRPr="009304B7">
        <w:rPr>
          <w:rFonts w:cs="Times New Roman"/>
        </w:rPr>
        <w:t>Concerning the first the Apostle first said</w:t>
      </w:r>
      <w:r w:rsidR="00D041BA" w:rsidRPr="009304B7">
        <w:rPr>
          <w:rFonts w:cs="Times New Roman"/>
        </w:rPr>
        <w:t xml:space="preserve"> [Eph. 5:31]: “They shall be two in one flesh.”</w:t>
      </w:r>
    </w:p>
    <w:p w14:paraId="73DCEBD1" w14:textId="4A9A1028" w:rsidR="00D041BA" w:rsidRPr="009304B7" w:rsidRDefault="00D041BA" w:rsidP="007E6199">
      <w:pPr>
        <w:spacing w:line="480" w:lineRule="auto"/>
        <w:rPr>
          <w:rFonts w:cs="Times New Roman"/>
        </w:rPr>
      </w:pPr>
      <w:r w:rsidRPr="009304B7">
        <w:rPr>
          <w:rFonts w:cs="Times New Roman"/>
        </w:rPr>
        <w:t>Concerning the second,</w:t>
      </w:r>
      <w:r w:rsidR="00F7013C" w:rsidRPr="009304B7">
        <w:rPr>
          <w:rStyle w:val="EndnoteReference"/>
          <w:rFonts w:cs="Times New Roman"/>
        </w:rPr>
        <w:endnoteReference w:id="8"/>
      </w:r>
      <w:r w:rsidRPr="009304B7">
        <w:rPr>
          <w:rFonts w:cs="Times New Roman"/>
        </w:rPr>
        <w:t xml:space="preserve"> the Apostle said, [1 Cor. 12:13]: “For in one Spirit were we all baptized into one body.”</w:t>
      </w:r>
      <w:bookmarkStart w:id="0" w:name="_GoBack"/>
      <w:bookmarkEnd w:id="0"/>
    </w:p>
    <w:p w14:paraId="7D4FAEA7" w14:textId="7CB15550" w:rsidR="00D041BA" w:rsidRPr="009304B7" w:rsidRDefault="00D041BA" w:rsidP="007E6199">
      <w:pPr>
        <w:spacing w:line="480" w:lineRule="auto"/>
        <w:rPr>
          <w:rFonts w:cs="Times New Roman"/>
        </w:rPr>
      </w:pPr>
      <w:r w:rsidRPr="009304B7">
        <w:rPr>
          <w:rFonts w:cs="Times New Roman"/>
        </w:rPr>
        <w:t>Concerning the third,</w:t>
      </w:r>
      <w:r w:rsidR="00F7013C" w:rsidRPr="009304B7">
        <w:rPr>
          <w:rStyle w:val="EndnoteReference"/>
          <w:rFonts w:cs="Times New Roman"/>
        </w:rPr>
        <w:endnoteReference w:id="9"/>
      </w:r>
      <w:r w:rsidRPr="009304B7">
        <w:rPr>
          <w:rFonts w:cs="Times New Roman"/>
        </w:rPr>
        <w:t xml:space="preserve"> [1 Cor. 6:17]: “But he who is joined to the Lord, is made one spirit in him.”</w:t>
      </w:r>
    </w:p>
    <w:p w14:paraId="74EC3513" w14:textId="0637F6CA" w:rsidR="00D041BA" w:rsidRPr="009304B7" w:rsidRDefault="00D041BA" w:rsidP="007E6199">
      <w:pPr>
        <w:spacing w:line="480" w:lineRule="auto"/>
        <w:rPr>
          <w:rFonts w:cs="Times New Roman"/>
        </w:rPr>
      </w:pPr>
      <w:r w:rsidRPr="009304B7">
        <w:rPr>
          <w:rFonts w:cs="Times New Roman"/>
        </w:rPr>
        <w:t>Concerning the fourth,</w:t>
      </w:r>
      <w:r w:rsidR="00F7013C" w:rsidRPr="009304B7">
        <w:rPr>
          <w:rStyle w:val="EndnoteReference"/>
          <w:rFonts w:cs="Times New Roman"/>
        </w:rPr>
        <w:endnoteReference w:id="10"/>
      </w:r>
      <w:r w:rsidRPr="009304B7">
        <w:rPr>
          <w:rFonts w:cs="Times New Roman"/>
        </w:rPr>
        <w:t xml:space="preserve"> [John 1:14]: “</w:t>
      </w:r>
      <w:r w:rsidR="009331F0" w:rsidRPr="009304B7">
        <w:rPr>
          <w:rFonts w:cs="Times New Roman"/>
        </w:rPr>
        <w:t>T</w:t>
      </w:r>
      <w:r w:rsidRPr="009304B7">
        <w:rPr>
          <w:rFonts w:cs="Times New Roman"/>
        </w:rPr>
        <w:t>he Word was made flesh</w:t>
      </w:r>
      <w:r w:rsidR="009331F0" w:rsidRPr="009304B7">
        <w:rPr>
          <w:rFonts w:cs="Times New Roman"/>
        </w:rPr>
        <w:t>.”</w:t>
      </w:r>
    </w:p>
    <w:p w14:paraId="0509D649" w14:textId="7CE27F8C" w:rsidR="009331F0" w:rsidRPr="009304B7" w:rsidRDefault="009331F0" w:rsidP="007E6199">
      <w:pPr>
        <w:spacing w:line="480" w:lineRule="auto"/>
        <w:rPr>
          <w:rFonts w:cs="Times New Roman"/>
        </w:rPr>
      </w:pPr>
      <w:r w:rsidRPr="009304B7">
        <w:rPr>
          <w:rFonts w:cs="Times New Roman"/>
        </w:rPr>
        <w:t>Again,</w:t>
      </w:r>
      <w:r w:rsidR="00F7013C" w:rsidRPr="009304B7">
        <w:rPr>
          <w:rStyle w:val="EndnoteReference"/>
          <w:rFonts w:cs="Times New Roman"/>
        </w:rPr>
        <w:endnoteReference w:id="11"/>
      </w:r>
      <w:r w:rsidRPr="009304B7">
        <w:rPr>
          <w:rFonts w:cs="Times New Roman"/>
        </w:rPr>
        <w:t xml:space="preserve"> the first union is carnal. The second is sacramental. The third spiritual. The fourth personal.</w:t>
      </w:r>
    </w:p>
    <w:sectPr w:rsidR="009331F0" w:rsidRPr="009304B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634C4" w14:textId="77777777" w:rsidR="00901033" w:rsidRDefault="00901033" w:rsidP="002D4F54">
      <w:pPr>
        <w:spacing w:after="0" w:line="240" w:lineRule="auto"/>
      </w:pPr>
      <w:r>
        <w:separator/>
      </w:r>
    </w:p>
  </w:endnote>
  <w:endnote w:type="continuationSeparator" w:id="0">
    <w:p w14:paraId="3B40C155" w14:textId="77777777" w:rsidR="00901033" w:rsidRDefault="00901033" w:rsidP="002D4F54">
      <w:pPr>
        <w:spacing w:after="0" w:line="240" w:lineRule="auto"/>
      </w:pPr>
      <w:r>
        <w:continuationSeparator/>
      </w:r>
    </w:p>
  </w:endnote>
  <w:endnote w:id="1">
    <w:p w14:paraId="1624CE76" w14:textId="16DEFB66" w:rsidR="00F7013C" w:rsidRPr="000927FE" w:rsidRDefault="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Jerome, </w:t>
      </w:r>
      <w:r w:rsidRPr="000927FE">
        <w:rPr>
          <w:rFonts w:cs="Times New Roman"/>
          <w:i/>
          <w:sz w:val="24"/>
          <w:szCs w:val="24"/>
        </w:rPr>
        <w:t>Adversus Jovinianum</w:t>
      </w:r>
      <w:r w:rsidRPr="000927FE">
        <w:rPr>
          <w:rFonts w:cs="Times New Roman"/>
          <w:sz w:val="24"/>
          <w:szCs w:val="24"/>
        </w:rPr>
        <w:t xml:space="preserve"> 1.46 (PL 23:275-276): Marcia Catonis filia minor, cum quaereretur ab ea, cur post amissum maritum denuo non nuberet, respondit, non se invenire virum, qui se magis vellet, quam sua. Quo dicto ostendit, divitias magis in uxoribus eligi solere, quam pudicitiam, et multos non oculis, sed digitis uxores ducere. Optima sane res, quam avaritia conciliat. Eadem cum lugeret virum, et matronae ab ea quaererent, quem diem haberet luctus ultimum, ait, quem et vitae. Arbitror, [Col.0275D] quae ita virum quaerebat absentem, de secundo matrimonio non cogitabat. Brutus Porciam virginem [Col.0276A] duxit uxorem: Marciam Cato non virginem; sed Marcia inter Hostensium Catonemque discurrit, et sine Catone vivere Marcia potuit: Porcia sine Bruto non potuit. Magis enim se unicis viris applicant feminae; et nihil aliud nosse, magnum arctioris indulgentiae vinculum est. Anniam cum propinquus moneret, ut alteri viro nuberet (esse enim ei et aetatem integram, et faciem bonam), Nequaquam, inquit, hoc faciam. Si enim virum bonum invenero, nolo timere ne perdam; si malum, quid necesse est post bonum, pessimum sustinere?</w:t>
      </w:r>
    </w:p>
    <w:p w14:paraId="035F4323" w14:textId="77777777" w:rsidR="00F7013C" w:rsidRPr="000927FE" w:rsidRDefault="00F7013C">
      <w:pPr>
        <w:pStyle w:val="EndnoteText"/>
        <w:rPr>
          <w:rFonts w:cs="Times New Roman"/>
          <w:sz w:val="24"/>
          <w:szCs w:val="24"/>
        </w:rPr>
      </w:pPr>
    </w:p>
  </w:endnote>
  <w:endnote w:id="2">
    <w:p w14:paraId="67777E56" w14:textId="77777777" w:rsidR="00F7013C" w:rsidRPr="000927FE" w:rsidRDefault="00F7013C" w:rsidP="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De quadripartita specie nuptiarum</w:t>
      </w:r>
      <w:r w:rsidRPr="000927FE">
        <w:rPr>
          <w:rFonts w:cs="Times New Roman"/>
          <w:sz w:val="24"/>
          <w:szCs w:val="24"/>
        </w:rPr>
        <w:t xml:space="preserve"> Incipit Liber de quadripartita specie nuptiarum (PL 217:923): Sacra docente Scriptura, didicimus quatuor esse species Nuptiarum juxta quatuor theologicos intellectus: Historicum, Allegoricum, Tropologicum, et Anagogicum. Primum inter virum, et legitimam feminam. Secundum inter Christum, et sanctam Ecclesiam. Tertium inter Deum, et justam animam. Quartum inter Verbum, et humanam naturam.</w:t>
      </w:r>
    </w:p>
    <w:p w14:paraId="487391F6" w14:textId="6E36A745" w:rsidR="00F7013C" w:rsidRPr="000927FE" w:rsidRDefault="00F7013C">
      <w:pPr>
        <w:pStyle w:val="EndnoteText"/>
        <w:rPr>
          <w:rFonts w:cs="Times New Roman"/>
          <w:sz w:val="24"/>
          <w:szCs w:val="24"/>
        </w:rPr>
      </w:pPr>
    </w:p>
  </w:endnote>
  <w:endnote w:id="3">
    <w:p w14:paraId="77994775" w14:textId="7404D478" w:rsidR="00F7013C" w:rsidRPr="000927FE" w:rsidRDefault="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 xml:space="preserve">De quadripartita specie nuptiarum </w:t>
      </w:r>
      <w:r w:rsidRPr="000927FE">
        <w:rPr>
          <w:rFonts w:cs="Times New Roman"/>
          <w:sz w:val="24"/>
          <w:szCs w:val="24"/>
        </w:rPr>
        <w:t>Incipit Liber de quadripartita specie nuptiarum (PL 217:923): De primis nuptiis Protoplastus evigilans prophetavit: Propter hoc relinquet homo patrem suum, et matrem, et adhaerebit uxori suae: et erunt duo in carne una.</w:t>
      </w:r>
    </w:p>
    <w:p w14:paraId="7857EE2F" w14:textId="77777777" w:rsidR="00F7013C" w:rsidRPr="000927FE" w:rsidRDefault="00F7013C">
      <w:pPr>
        <w:pStyle w:val="EndnoteText"/>
        <w:rPr>
          <w:rFonts w:cs="Times New Roman"/>
          <w:sz w:val="24"/>
          <w:szCs w:val="24"/>
        </w:rPr>
      </w:pPr>
    </w:p>
  </w:endnote>
  <w:endnote w:id="4">
    <w:p w14:paraId="2037EE6C" w14:textId="42537DA3" w:rsidR="00F7013C" w:rsidRPr="000927FE" w:rsidRDefault="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 xml:space="preserve">De quadripartita specie nuptiarum </w:t>
      </w:r>
      <w:r w:rsidRPr="000927FE">
        <w:rPr>
          <w:rFonts w:cs="Times New Roman"/>
          <w:sz w:val="24"/>
          <w:szCs w:val="24"/>
        </w:rPr>
        <w:t>Incipit Liber de quadripartita specie nuptiarum (PL 217:923): De secundis nuptiis Angelus in Apocalypsi loquitur ad Joannem: Veni, et ostendam tibi sponsam, uxorem Agni.</w:t>
      </w:r>
    </w:p>
    <w:p w14:paraId="1807BEBE" w14:textId="77777777" w:rsidR="00F7013C" w:rsidRPr="000927FE" w:rsidRDefault="00F7013C">
      <w:pPr>
        <w:pStyle w:val="EndnoteText"/>
        <w:rPr>
          <w:rFonts w:cs="Times New Roman"/>
          <w:sz w:val="24"/>
          <w:szCs w:val="24"/>
        </w:rPr>
      </w:pPr>
    </w:p>
  </w:endnote>
  <w:endnote w:id="5">
    <w:p w14:paraId="7C2D4168" w14:textId="77777777" w:rsidR="00F7013C" w:rsidRPr="000927FE" w:rsidRDefault="00F7013C" w:rsidP="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 xml:space="preserve">De quadripartita specie nuptiarum </w:t>
      </w:r>
      <w:r w:rsidRPr="000927FE">
        <w:rPr>
          <w:rFonts w:cs="Times New Roman"/>
          <w:sz w:val="24"/>
          <w:szCs w:val="24"/>
        </w:rPr>
        <w:t>Incipit Liber de quadripartita specie nuptiarum (PL 217:923): De tertiis nuptiis ait Dominus per Prophetam Oseam:  Sponsabo te mihi in justitia, et judicio, et in misericordia, et miserationibus.</w:t>
      </w:r>
    </w:p>
    <w:p w14:paraId="4AAC18CE" w14:textId="6F33306F" w:rsidR="00F7013C" w:rsidRPr="000927FE" w:rsidRDefault="00F7013C">
      <w:pPr>
        <w:pStyle w:val="EndnoteText"/>
        <w:rPr>
          <w:rFonts w:cs="Times New Roman"/>
          <w:sz w:val="24"/>
          <w:szCs w:val="24"/>
        </w:rPr>
      </w:pPr>
    </w:p>
  </w:endnote>
  <w:endnote w:id="6">
    <w:p w14:paraId="006DF4F1" w14:textId="2ABC5E69" w:rsidR="00F7013C" w:rsidRPr="000927FE" w:rsidRDefault="00F7013C" w:rsidP="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 xml:space="preserve">De quadripartita specie nuptiarum </w:t>
      </w:r>
      <w:r w:rsidRPr="000927FE">
        <w:rPr>
          <w:rFonts w:cs="Times New Roman"/>
          <w:sz w:val="24"/>
          <w:szCs w:val="24"/>
        </w:rPr>
        <w:t>Incipit Liber de quadripartita specie nuptiarum (PL 217:923): De quartis nuptiis sponsa dicit in Canticis: [14 1</w:t>
      </w:r>
      <w:proofErr w:type="gramStart"/>
      <w:r w:rsidRPr="000927FE">
        <w:rPr>
          <w:rFonts w:cs="Times New Roman"/>
          <w:sz w:val="24"/>
          <w:szCs w:val="24"/>
        </w:rPr>
        <w:t>Kb]  Egredimini</w:t>
      </w:r>
      <w:proofErr w:type="gramEnd"/>
      <w:r w:rsidRPr="000927FE">
        <w:rPr>
          <w:rFonts w:cs="Times New Roman"/>
          <w:sz w:val="24"/>
          <w:szCs w:val="24"/>
        </w:rPr>
        <w:t>, filiae Sion, et videte Regem Salomonem in diademate, quo coronavit eum mater sua in die desponsationis suae:</w:t>
      </w:r>
    </w:p>
    <w:p w14:paraId="78D37D0D" w14:textId="78B9AE2B" w:rsidR="00F7013C" w:rsidRPr="000927FE" w:rsidRDefault="00F7013C">
      <w:pPr>
        <w:pStyle w:val="EndnoteText"/>
        <w:rPr>
          <w:rFonts w:cs="Times New Roman"/>
          <w:sz w:val="24"/>
          <w:szCs w:val="24"/>
        </w:rPr>
      </w:pPr>
    </w:p>
  </w:endnote>
  <w:endnote w:id="7">
    <w:p w14:paraId="3A676B88" w14:textId="2BC7CAD0" w:rsidR="00F7013C" w:rsidRPr="000927FE" w:rsidRDefault="00F7013C" w:rsidP="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 xml:space="preserve">De quadripartita specie nuptiarum </w:t>
      </w:r>
      <w:r w:rsidRPr="000927FE">
        <w:rPr>
          <w:rFonts w:cs="Times New Roman"/>
          <w:sz w:val="24"/>
          <w:szCs w:val="24"/>
        </w:rPr>
        <w:t>De quadripartita specie Nuptiarum (PL 217:923): De prima namque testatur auctoritas: Erunt duo in carne una; propter quam unionem Veritas intulit: Itaque jam non sunt duo, sed una caro.</w:t>
      </w:r>
    </w:p>
    <w:p w14:paraId="5D2E9A28" w14:textId="2C9508CA" w:rsidR="00F7013C" w:rsidRPr="000927FE" w:rsidRDefault="00F7013C">
      <w:pPr>
        <w:pStyle w:val="EndnoteText"/>
        <w:rPr>
          <w:rFonts w:cs="Times New Roman"/>
          <w:sz w:val="24"/>
          <w:szCs w:val="24"/>
        </w:rPr>
      </w:pPr>
    </w:p>
  </w:endnote>
  <w:endnote w:id="8">
    <w:p w14:paraId="136AA022" w14:textId="439C68F3" w:rsidR="00F7013C" w:rsidRPr="000927FE" w:rsidRDefault="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 xml:space="preserve">De quadripartita specie nuptiarum </w:t>
      </w:r>
      <w:r w:rsidRPr="000927FE">
        <w:rPr>
          <w:rFonts w:cs="Times New Roman"/>
          <w:sz w:val="24"/>
          <w:szCs w:val="24"/>
        </w:rPr>
        <w:t>De quadripartita specie Nuptiarum (PL 217:923-924): De secunda dicit Apostolus: [Col.0923D] Omnia membra corporis cum sint multa, unum corpus sunt. Ita et nos unum corpus sumus in Christo; [Col.0924A] propter quam unionem idem Apostolus subdit: Etenim omnes nos in unum corpus baptizati sumus.</w:t>
      </w:r>
    </w:p>
    <w:p w14:paraId="6272FE41" w14:textId="77777777" w:rsidR="00F7013C" w:rsidRPr="000927FE" w:rsidRDefault="00F7013C">
      <w:pPr>
        <w:pStyle w:val="EndnoteText"/>
        <w:rPr>
          <w:rFonts w:cs="Times New Roman"/>
          <w:sz w:val="24"/>
          <w:szCs w:val="24"/>
        </w:rPr>
      </w:pPr>
    </w:p>
  </w:endnote>
  <w:endnote w:id="9">
    <w:p w14:paraId="3A22D6EC" w14:textId="2EA9F4D4" w:rsidR="00F7013C" w:rsidRPr="000927FE" w:rsidRDefault="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 xml:space="preserve">De quadripartita specie nuptiarum </w:t>
      </w:r>
      <w:r w:rsidRPr="000927FE">
        <w:rPr>
          <w:rFonts w:cs="Times New Roman"/>
          <w:sz w:val="24"/>
          <w:szCs w:val="24"/>
        </w:rPr>
        <w:t>De quadripartita specie Nuptiarum (PL 217:924): De tertia vero dicit idem Apostolus: Qui adhaeret Domino, unus spiritus est, et unus spiritus est cum eo, propter quam unionem Joannes Apostolus: Qui manet in charitate, in Deo manet, et Deus in eo.</w:t>
      </w:r>
    </w:p>
    <w:p w14:paraId="49224327" w14:textId="77777777" w:rsidR="00F7013C" w:rsidRPr="000927FE" w:rsidRDefault="00F7013C">
      <w:pPr>
        <w:pStyle w:val="EndnoteText"/>
        <w:rPr>
          <w:rFonts w:cs="Times New Roman"/>
          <w:sz w:val="24"/>
          <w:szCs w:val="24"/>
        </w:rPr>
      </w:pPr>
    </w:p>
  </w:endnote>
  <w:endnote w:id="10">
    <w:p w14:paraId="2C03653F" w14:textId="09965DF8" w:rsidR="00F7013C" w:rsidRPr="000927FE" w:rsidRDefault="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 xml:space="preserve">De quadripartita specie nuptiarum </w:t>
      </w:r>
      <w:r w:rsidRPr="000927FE">
        <w:rPr>
          <w:rFonts w:cs="Times New Roman"/>
          <w:sz w:val="24"/>
          <w:szCs w:val="24"/>
        </w:rPr>
        <w:t>De quadripartita specie Nuptiarum (PL 217:924): De quarta, fides Catholica confitetur, quod: sicut anima rationalis, et caro unus est homo: ita Deus, et homo unus est Christus; propter quam ineffabilem unionem Evangelista testatur, quia Verbum caro factum est, et habitavit in nobis.</w:t>
      </w:r>
    </w:p>
    <w:p w14:paraId="689FB973" w14:textId="77777777" w:rsidR="00F7013C" w:rsidRPr="000927FE" w:rsidRDefault="00F7013C">
      <w:pPr>
        <w:pStyle w:val="EndnoteText"/>
        <w:rPr>
          <w:rFonts w:cs="Times New Roman"/>
          <w:sz w:val="24"/>
          <w:szCs w:val="24"/>
        </w:rPr>
      </w:pPr>
    </w:p>
  </w:endnote>
  <w:endnote w:id="11">
    <w:p w14:paraId="302487E5" w14:textId="77777777" w:rsidR="00F7013C" w:rsidRPr="000927FE" w:rsidRDefault="00F7013C" w:rsidP="00F7013C">
      <w:pPr>
        <w:pStyle w:val="EndnoteText"/>
        <w:rPr>
          <w:rFonts w:cs="Times New Roman"/>
          <w:sz w:val="24"/>
          <w:szCs w:val="24"/>
        </w:rPr>
      </w:pPr>
      <w:r w:rsidRPr="000927FE">
        <w:rPr>
          <w:rStyle w:val="EndnoteReference"/>
          <w:rFonts w:cs="Times New Roman"/>
          <w:sz w:val="24"/>
          <w:szCs w:val="24"/>
        </w:rPr>
        <w:endnoteRef/>
      </w:r>
      <w:r w:rsidRPr="000927FE">
        <w:rPr>
          <w:rFonts w:cs="Times New Roman"/>
          <w:sz w:val="24"/>
          <w:szCs w:val="24"/>
        </w:rPr>
        <w:t xml:space="preserve"> </w:t>
      </w:r>
      <w:r w:rsidRPr="000927FE">
        <w:rPr>
          <w:rFonts w:cs="Times New Roman"/>
          <w:sz w:val="24"/>
          <w:szCs w:val="24"/>
        </w:rPr>
        <w:t xml:space="preserve">Cf. Innocent III, </w:t>
      </w:r>
      <w:r w:rsidRPr="000927FE">
        <w:rPr>
          <w:rFonts w:cs="Times New Roman"/>
          <w:i/>
          <w:sz w:val="24"/>
          <w:szCs w:val="24"/>
        </w:rPr>
        <w:t xml:space="preserve">De quadripartita specie nuptiarum </w:t>
      </w:r>
      <w:r w:rsidRPr="000927FE">
        <w:rPr>
          <w:rFonts w:cs="Times New Roman"/>
          <w:sz w:val="24"/>
          <w:szCs w:val="24"/>
        </w:rPr>
        <w:t>De quadripartita specie Nuptiarum (PL 217:924): Primam ergo unionem recte Carnalem: secundam Sacramentalem: tertiam spiritualem: et quartam dixerimus Personalem. Carnalem, ut diximus, inter virum, et mulierem legitimam: Sacramentalem [Col.0924B] inter Christum, et sanctam Ecclesiam: spiritualem inter Deum, et justam animam: personalem inter Verbum, et humanam naturam.</w:t>
      </w:r>
    </w:p>
    <w:p w14:paraId="18440AE2" w14:textId="047E3B81" w:rsidR="00F7013C" w:rsidRPr="000927FE" w:rsidRDefault="00F7013C">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BDFCE" w14:textId="77777777" w:rsidR="00901033" w:rsidRDefault="00901033" w:rsidP="002D4F54">
      <w:pPr>
        <w:spacing w:after="0" w:line="240" w:lineRule="auto"/>
      </w:pPr>
      <w:r>
        <w:separator/>
      </w:r>
    </w:p>
  </w:footnote>
  <w:footnote w:type="continuationSeparator" w:id="0">
    <w:p w14:paraId="14FCE66D" w14:textId="77777777" w:rsidR="00901033" w:rsidRDefault="00901033" w:rsidP="002D4F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99"/>
    <w:rsid w:val="000927FE"/>
    <w:rsid w:val="002326D5"/>
    <w:rsid w:val="002D4F54"/>
    <w:rsid w:val="002D6455"/>
    <w:rsid w:val="003241CB"/>
    <w:rsid w:val="0039799F"/>
    <w:rsid w:val="00463A69"/>
    <w:rsid w:val="004C3987"/>
    <w:rsid w:val="00547DCC"/>
    <w:rsid w:val="00572C0E"/>
    <w:rsid w:val="0062559E"/>
    <w:rsid w:val="007761C4"/>
    <w:rsid w:val="007E2ECA"/>
    <w:rsid w:val="007E6199"/>
    <w:rsid w:val="00901033"/>
    <w:rsid w:val="009304B7"/>
    <w:rsid w:val="009331F0"/>
    <w:rsid w:val="00B66E25"/>
    <w:rsid w:val="00B9284F"/>
    <w:rsid w:val="00C94969"/>
    <w:rsid w:val="00D041BA"/>
    <w:rsid w:val="00E62B6F"/>
    <w:rsid w:val="00F7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D367"/>
  <w15:chartTrackingRefBased/>
  <w15:docId w15:val="{6EDFF8F4-6452-4F8B-9F57-9A2D0138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D4F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4F54"/>
    <w:rPr>
      <w:sz w:val="20"/>
      <w:szCs w:val="20"/>
    </w:rPr>
  </w:style>
  <w:style w:type="character" w:styleId="EndnoteReference">
    <w:name w:val="endnote reference"/>
    <w:basedOn w:val="DefaultParagraphFont"/>
    <w:uiPriority w:val="99"/>
    <w:semiHidden/>
    <w:unhideWhenUsed/>
    <w:rsid w:val="002D4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75832E-9222-4D0C-BABF-BB5CE471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2019-04-02T22:50:00Z</cp:lastPrinted>
  <dcterms:created xsi:type="dcterms:W3CDTF">2020-11-01T20:32:00Z</dcterms:created>
  <dcterms:modified xsi:type="dcterms:W3CDTF">2020-11-01T23:23:00Z</dcterms:modified>
</cp:coreProperties>
</file>