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88D1" w14:textId="77777777" w:rsidR="00B9284F" w:rsidRPr="00A672A3" w:rsidRDefault="0089365C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221 Eat (</w:t>
      </w:r>
      <w:r w:rsidRPr="00A672A3">
        <w:rPr>
          <w:rFonts w:cs="Times New Roman"/>
          <w:i/>
        </w:rPr>
        <w:t>Manducate</w:t>
      </w:r>
      <w:r w:rsidRPr="00A672A3">
        <w:rPr>
          <w:rFonts w:cs="Times New Roman"/>
        </w:rPr>
        <w:t>)</w:t>
      </w:r>
    </w:p>
    <w:p w14:paraId="78FC86E0" w14:textId="03C53430" w:rsidR="0089365C" w:rsidRPr="00A672A3" w:rsidRDefault="0089365C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Eating is triple: bodily, sacramentally, and heavenly. Concerning the corporeal it is to be noted first</w:t>
      </w:r>
      <w:r w:rsidR="00A672A3">
        <w:rPr>
          <w:rFonts w:cs="Times New Roman"/>
        </w:rPr>
        <w:t>,</w:t>
      </w:r>
      <w:r w:rsidRPr="00A672A3">
        <w:rPr>
          <w:rFonts w:cs="Times New Roman"/>
        </w:rPr>
        <w:t xml:space="preserve"> lest there be animosity to be pacified, Psal. [127:2]: “For you shall eat the labors of your hands.” Tob. 2[:21]: “Take heed, lest perhaps it be stolen.”</w:t>
      </w:r>
    </w:p>
    <w:p w14:paraId="0ACF2E1F" w14:textId="7591B371" w:rsidR="00230F4C" w:rsidRPr="00A672A3" w:rsidRDefault="0089365C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 xml:space="preserve">Second, </w:t>
      </w:r>
      <w:r w:rsidR="00335818" w:rsidRPr="00A672A3">
        <w:rPr>
          <w:rFonts w:cs="Times New Roman"/>
        </w:rPr>
        <w:t>nor let there be a superfluity of satiety, lest man be like the leech</w:t>
      </w:r>
      <w:r w:rsidR="00736347" w:rsidRPr="00A672A3">
        <w:rPr>
          <w:rStyle w:val="EndnoteReference"/>
          <w:rFonts w:cs="Times New Roman"/>
        </w:rPr>
        <w:endnoteReference w:id="1"/>
      </w:r>
      <w:r w:rsidR="00335818" w:rsidRPr="00A672A3">
        <w:rPr>
          <w:rFonts w:cs="Times New Roman"/>
        </w:rPr>
        <w:t xml:space="preserve"> drinking what bursts him, Psal. [77:29]: “So they did eat, and were filled exceedingly,” etc.</w:t>
      </w:r>
      <w:r w:rsidR="00D949D6" w:rsidRPr="00A672A3">
        <w:rPr>
          <w:rFonts w:cs="Times New Roman"/>
        </w:rPr>
        <w:t xml:space="preserve"> Therefore Eccli. 31[:19]: “</w:t>
      </w:r>
      <w:r w:rsidR="00230F4C" w:rsidRPr="00A672A3">
        <w:rPr>
          <w:rFonts w:cs="Times New Roman"/>
        </w:rPr>
        <w:t xml:space="preserve">Use as a frugal man the things that are set before </w:t>
      </w:r>
      <w:r w:rsidR="00CB2429" w:rsidRPr="00A672A3">
        <w:rPr>
          <w:rFonts w:cs="Times New Roman"/>
        </w:rPr>
        <w:t>you</w:t>
      </w:r>
      <w:r w:rsidR="00230F4C" w:rsidRPr="00A672A3">
        <w:rPr>
          <w:rFonts w:cs="Times New Roman"/>
        </w:rPr>
        <w:t>: lest if you eat much, you be hated.”</w:t>
      </w:r>
    </w:p>
    <w:p w14:paraId="492920B8" w14:textId="77777777" w:rsidR="0089365C" w:rsidRPr="00A672A3" w:rsidRDefault="003F4CB3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Third, let there be joy in the preparation, Matt. 6[:25]: “Be not solicitous” saying, “what you shall eat,” etc.</w:t>
      </w:r>
    </w:p>
    <w:p w14:paraId="49D91B4B" w14:textId="77777777" w:rsidR="003F4CB3" w:rsidRPr="00A672A3" w:rsidRDefault="003F4CB3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¶</w:t>
      </w:r>
      <w:r w:rsidR="00526BC6" w:rsidRPr="00A672A3">
        <w:rPr>
          <w:rFonts w:cs="Times New Roman"/>
        </w:rPr>
        <w:t xml:space="preserve"> The example in the so</w:t>
      </w:r>
      <w:r w:rsidR="007B4504" w:rsidRPr="00A672A3">
        <w:rPr>
          <w:rFonts w:cs="Times New Roman"/>
        </w:rPr>
        <w:t>ns of Heli</w:t>
      </w:r>
      <w:r w:rsidRPr="00A672A3">
        <w:rPr>
          <w:rFonts w:cs="Times New Roman"/>
        </w:rPr>
        <w:t xml:space="preserve"> saying that </w:t>
      </w:r>
      <w:r w:rsidR="00056668" w:rsidRPr="00A672A3">
        <w:rPr>
          <w:rFonts w:cs="Times New Roman"/>
        </w:rPr>
        <w:t>of 1 Kings 2[:15]: “I will not take of you sodden flesh, but raw.”</w:t>
      </w:r>
    </w:p>
    <w:p w14:paraId="28F8EE07" w14:textId="77777777" w:rsidR="00056668" w:rsidRPr="00A672A3" w:rsidRDefault="00056668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Fourth, let there not be dishonesty of society because from the assemblage customs are burned. Nor let man be like a chameleon that changes his color according to the color of the watchers, Tob. 4[:18]: “D</w:t>
      </w:r>
      <w:r w:rsidR="00822382" w:rsidRPr="00A672A3">
        <w:rPr>
          <w:rFonts w:cs="Times New Roman"/>
        </w:rPr>
        <w:t>o not eat and drink</w:t>
      </w:r>
      <w:r w:rsidRPr="00A672A3">
        <w:rPr>
          <w:rFonts w:cs="Times New Roman"/>
        </w:rPr>
        <w:t xml:space="preserve"> with the wicked.</w:t>
      </w:r>
      <w:r w:rsidR="00822382" w:rsidRPr="00A672A3">
        <w:rPr>
          <w:rFonts w:cs="Times New Roman"/>
        </w:rPr>
        <w:t>” In truth however Christ in Luke 15[:2] he ate with sinners so that thus he might invite them to the good, not however the opposite. That is to the evil.</w:t>
      </w:r>
    </w:p>
    <w:p w14:paraId="70D05DF4" w14:textId="77777777" w:rsidR="00822382" w:rsidRPr="00A672A3" w:rsidRDefault="00822382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Fifth, nor let there be an anticipation of the time, lest a man be like Eccle. 10[:16]: “Woe to the land, when your king is a child, and when the princes eat in the morning.”</w:t>
      </w:r>
    </w:p>
    <w:p w14:paraId="04B14A90" w14:textId="77777777" w:rsidR="00822382" w:rsidRPr="00A672A3" w:rsidRDefault="00526BC6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 xml:space="preserve">¶ Concerning the partaking of the sacrament three things are to be examined. First as antecedent which is </w:t>
      </w:r>
      <w:r w:rsidR="00F818FB" w:rsidRPr="00A672A3">
        <w:rPr>
          <w:rFonts w:cs="Times New Roman"/>
        </w:rPr>
        <w:t xml:space="preserve">the love of the gem of charity, for with the Eucharist there is the sacrament of love and </w:t>
      </w:r>
      <w:r w:rsidR="00F818FB" w:rsidRPr="00A672A3">
        <w:rPr>
          <w:rFonts w:cs="Times New Roman"/>
        </w:rPr>
        <w:lastRenderedPageBreak/>
        <w:t>the union of food with food, there would be no Eucharist without the union through love, Matt. 26[:26]: “</w:t>
      </w:r>
      <w:r w:rsidR="007F10C5" w:rsidRPr="00A672A3">
        <w:rPr>
          <w:rFonts w:cs="Times New Roman"/>
        </w:rPr>
        <w:t>Take, and eat. This is my body.”</w:t>
      </w:r>
    </w:p>
    <w:p w14:paraId="20861F9A" w14:textId="77777777" w:rsidR="007F10C5" w:rsidRPr="00A672A3" w:rsidRDefault="007F10C5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Another is communicating, namely, the devout commemoration of the Lord’s passion, 1 Cor. 11[:26]:</w:t>
      </w:r>
      <w:r w:rsidR="0064300E" w:rsidRPr="00A672A3">
        <w:rPr>
          <w:rFonts w:cs="Times New Roman"/>
        </w:rPr>
        <w:t xml:space="preserve"> “For as often as you shall eat this bread, and drink the chalice, you shall show the death of the Lord.”</w:t>
      </w:r>
    </w:p>
    <w:p w14:paraId="54770DA4" w14:textId="77777777" w:rsidR="0064300E" w:rsidRPr="00A672A3" w:rsidRDefault="0064300E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¶ Third, as if consequently is the adoption of eternal life, for just as food of the body is ordered to eternal life, John 6[:55]: “He that eats my flesh, and drinks my blood,” namely, worthily, “has everlasting life,” namely, in hope.</w:t>
      </w:r>
    </w:p>
    <w:p w14:paraId="76533D58" w14:textId="77777777" w:rsidR="0064300E" w:rsidRPr="00A672A3" w:rsidRDefault="0064300E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Concerning, the heavenly eating, note what is to be sought because i</w:t>
      </w:r>
      <w:r w:rsidR="00281758" w:rsidRPr="00A672A3">
        <w:rPr>
          <w:rFonts w:cs="Times New Roman"/>
        </w:rPr>
        <w:t>t delights without peril, 2 Esdras</w:t>
      </w:r>
      <w:r w:rsidRPr="00A672A3">
        <w:rPr>
          <w:rFonts w:cs="Times New Roman"/>
        </w:rPr>
        <w:t xml:space="preserve"> 8[:10]]: “</w:t>
      </w:r>
      <w:r w:rsidR="00281758" w:rsidRPr="00A672A3">
        <w:rPr>
          <w:rFonts w:cs="Times New Roman"/>
        </w:rPr>
        <w:t xml:space="preserve">It is the holy day of the Lord, eat fat meats.” </w:t>
      </w:r>
    </w:p>
    <w:p w14:paraId="726540F7" w14:textId="77777777" w:rsidR="00281758" w:rsidRPr="00A672A3" w:rsidRDefault="00281758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Second, because he satisfies without fastidiousness, Psal. [77:25]: “Man ate the bread of angels.”</w:t>
      </w:r>
    </w:p>
    <w:p w14:paraId="317A486E" w14:textId="77777777" w:rsidR="00281758" w:rsidRPr="00A672A3" w:rsidRDefault="00281758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Third, because he overflows without en</w:t>
      </w:r>
      <w:bookmarkStart w:id="0" w:name="_GoBack"/>
      <w:bookmarkEnd w:id="0"/>
      <w:r w:rsidRPr="00A672A3">
        <w:rPr>
          <w:rFonts w:cs="Times New Roman"/>
        </w:rPr>
        <w:t>d, John 6[:41, 52]: “I am the living bread which came down from heaven…. If any man eat of this bread.” Luke 14[:15]</w:t>
      </w:r>
      <w:r w:rsidR="004B6300" w:rsidRPr="00A672A3">
        <w:rPr>
          <w:rFonts w:cs="Times New Roman"/>
        </w:rPr>
        <w:t>: “Blessed is he that shall eat bread in the kingdom of heaven.”</w:t>
      </w:r>
    </w:p>
    <w:p w14:paraId="38C97D53" w14:textId="1A05FE22" w:rsidR="004B6300" w:rsidRPr="00A672A3" w:rsidRDefault="004B6300" w:rsidP="004B6300">
      <w:pPr>
        <w:spacing w:line="480" w:lineRule="auto"/>
        <w:rPr>
          <w:rFonts w:cs="Times New Roman"/>
        </w:rPr>
      </w:pPr>
      <w:r w:rsidRPr="00A672A3">
        <w:rPr>
          <w:rFonts w:cs="Times New Roman"/>
        </w:rPr>
        <w:t>For more concerning to eat see above, c. [67] To eat (</w:t>
      </w:r>
      <w:r w:rsidRPr="00A672A3">
        <w:rPr>
          <w:rFonts w:cs="Times New Roman"/>
          <w:i/>
        </w:rPr>
        <w:t>Comedere</w:t>
      </w:r>
      <w:r w:rsidRPr="00A672A3">
        <w:rPr>
          <w:rFonts w:cs="Times New Roman"/>
        </w:rPr>
        <w:t>).</w:t>
      </w:r>
    </w:p>
    <w:sectPr w:rsidR="004B6300" w:rsidRPr="00A672A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603E" w14:textId="77777777" w:rsidR="00736347" w:rsidRDefault="00736347" w:rsidP="00736347">
      <w:pPr>
        <w:spacing w:after="0" w:line="240" w:lineRule="auto"/>
      </w:pPr>
      <w:r>
        <w:separator/>
      </w:r>
    </w:p>
  </w:endnote>
  <w:endnote w:type="continuationSeparator" w:id="0">
    <w:p w14:paraId="481F6836" w14:textId="77777777" w:rsidR="00736347" w:rsidRDefault="00736347" w:rsidP="00736347">
      <w:pPr>
        <w:spacing w:after="0" w:line="240" w:lineRule="auto"/>
      </w:pPr>
      <w:r>
        <w:continuationSeparator/>
      </w:r>
    </w:p>
  </w:endnote>
  <w:endnote w:id="1">
    <w:p w14:paraId="719DE46B" w14:textId="44985609" w:rsidR="00736347" w:rsidRPr="00B26AEC" w:rsidRDefault="00736347">
      <w:pPr>
        <w:pStyle w:val="EndnoteText"/>
        <w:rPr>
          <w:sz w:val="24"/>
          <w:szCs w:val="24"/>
        </w:rPr>
      </w:pPr>
      <w:r w:rsidRPr="00736347">
        <w:rPr>
          <w:rStyle w:val="EndnoteReference"/>
          <w:sz w:val="24"/>
          <w:szCs w:val="24"/>
        </w:rPr>
        <w:endnoteRef/>
      </w:r>
      <w:r w:rsidRPr="00736347">
        <w:rPr>
          <w:sz w:val="24"/>
          <w:szCs w:val="24"/>
        </w:rPr>
        <w:t xml:space="preserve"> Cf. William de</w:t>
      </w:r>
      <w:r>
        <w:rPr>
          <w:sz w:val="24"/>
          <w:szCs w:val="24"/>
        </w:rPr>
        <w:t xml:space="preserve"> Lancea, </w:t>
      </w:r>
      <w:r>
        <w:rPr>
          <w:i/>
          <w:iCs/>
          <w:sz w:val="24"/>
          <w:szCs w:val="24"/>
        </w:rPr>
        <w:t>Diaetae salutis</w:t>
      </w:r>
      <w:r>
        <w:rPr>
          <w:sz w:val="24"/>
          <w:szCs w:val="24"/>
        </w:rPr>
        <w:t xml:space="preserve"> 1.8 (8:260b): Et istae dueae filiae sunt illae filiae, de quibus dicitur in </w:t>
      </w:r>
      <w:r>
        <w:rPr>
          <w:i/>
          <w:iCs/>
          <w:sz w:val="24"/>
          <w:szCs w:val="24"/>
        </w:rPr>
        <w:t>Proverbiis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Sanguisugae duae sunt filiae, dicentes: Affer, affer</w:t>
      </w:r>
      <w:r>
        <w:rPr>
          <w:sz w:val="24"/>
          <w:szCs w:val="24"/>
        </w:rPr>
        <w:t>. Sanguisuga dicitur ventger, quia ad modum sanguisugae citius obruitur quam satiatur, ut dicit Bernardus</w:t>
      </w:r>
      <w:r w:rsidR="00B26AEC">
        <w:rPr>
          <w:sz w:val="24"/>
          <w:szCs w:val="24"/>
        </w:rPr>
        <w:t xml:space="preserve"> [Bern., </w:t>
      </w:r>
      <w:r w:rsidR="00B26AEC">
        <w:rPr>
          <w:i/>
          <w:iCs/>
          <w:sz w:val="24"/>
          <w:szCs w:val="24"/>
        </w:rPr>
        <w:t>Apolog</w:t>
      </w:r>
      <w:r w:rsidR="00B26AEC">
        <w:rPr>
          <w:sz w:val="24"/>
          <w:szCs w:val="24"/>
        </w:rPr>
        <w:t xml:space="preserve">., </w:t>
      </w:r>
      <w:r w:rsidR="00B26AEC" w:rsidRPr="00B26AEC">
        <w:rPr>
          <w:i/>
          <w:iCs/>
          <w:sz w:val="24"/>
          <w:szCs w:val="24"/>
        </w:rPr>
        <w:t>ad Gui</w:t>
      </w:r>
      <w:r w:rsidR="00B26AEC">
        <w:rPr>
          <w:i/>
          <w:iCs/>
          <w:sz w:val="24"/>
          <w:szCs w:val="24"/>
        </w:rPr>
        <w:t>ll. abb.</w:t>
      </w:r>
      <w:r w:rsidR="00B26AEC">
        <w:rPr>
          <w:sz w:val="24"/>
          <w:szCs w:val="24"/>
        </w:rPr>
        <w:t xml:space="preserve">, post med.] Hujusmodi ergo sanguisugae, scilicet ventris, duae sunt filiae, scilicet gastrimargia et ebrietas, dicentes: </w:t>
      </w:r>
      <w:r w:rsidR="00B26AEC">
        <w:rPr>
          <w:i/>
          <w:iCs/>
          <w:sz w:val="24"/>
          <w:szCs w:val="24"/>
        </w:rPr>
        <w:t>Affer</w:t>
      </w:r>
      <w:r w:rsidR="00B26AEC">
        <w:rPr>
          <w:sz w:val="24"/>
          <w:szCs w:val="24"/>
        </w:rPr>
        <w:t xml:space="preserve">. Nam gatrimagia dicit: </w:t>
      </w:r>
      <w:r w:rsidR="00B26AEC">
        <w:rPr>
          <w:i/>
          <w:iCs/>
          <w:sz w:val="24"/>
          <w:szCs w:val="24"/>
        </w:rPr>
        <w:t>Affer cibum</w:t>
      </w:r>
      <w:r w:rsidR="00B26AEC">
        <w:rPr>
          <w:sz w:val="24"/>
          <w:szCs w:val="24"/>
        </w:rPr>
        <w:t xml:space="preserve">; ebrietas dicit: </w:t>
      </w:r>
      <w:r w:rsidR="00B26AEC">
        <w:rPr>
          <w:i/>
          <w:iCs/>
          <w:sz w:val="24"/>
          <w:szCs w:val="24"/>
        </w:rPr>
        <w:t>Affer potum</w:t>
      </w:r>
      <w:r w:rsidR="00B26AEC">
        <w:rPr>
          <w:sz w:val="24"/>
          <w:szCs w:val="24"/>
        </w:rPr>
        <w:t>. Una vult aliquantulum comedere post potum; et alia aliquantulum bibere post cibum. Et sic in infinitum.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EA11" w14:textId="77777777" w:rsidR="00736347" w:rsidRDefault="00736347" w:rsidP="00736347">
      <w:pPr>
        <w:spacing w:after="0" w:line="240" w:lineRule="auto"/>
      </w:pPr>
      <w:r>
        <w:separator/>
      </w:r>
    </w:p>
  </w:footnote>
  <w:footnote w:type="continuationSeparator" w:id="0">
    <w:p w14:paraId="21CE1C61" w14:textId="77777777" w:rsidR="00736347" w:rsidRDefault="00736347" w:rsidP="00736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5C"/>
    <w:rsid w:val="00056668"/>
    <w:rsid w:val="00093E79"/>
    <w:rsid w:val="00230F4C"/>
    <w:rsid w:val="00281758"/>
    <w:rsid w:val="002A0CFA"/>
    <w:rsid w:val="00310E1B"/>
    <w:rsid w:val="00335818"/>
    <w:rsid w:val="003F4CB3"/>
    <w:rsid w:val="004B6300"/>
    <w:rsid w:val="00526BC6"/>
    <w:rsid w:val="00574F05"/>
    <w:rsid w:val="0064300E"/>
    <w:rsid w:val="00736347"/>
    <w:rsid w:val="007B4504"/>
    <w:rsid w:val="007F10C5"/>
    <w:rsid w:val="00822382"/>
    <w:rsid w:val="0089365C"/>
    <w:rsid w:val="00A672A3"/>
    <w:rsid w:val="00B26AEC"/>
    <w:rsid w:val="00B9284F"/>
    <w:rsid w:val="00CB2429"/>
    <w:rsid w:val="00CC3522"/>
    <w:rsid w:val="00D949D6"/>
    <w:rsid w:val="00F8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E305"/>
  <w15:chartTrackingRefBased/>
  <w15:docId w15:val="{3335F563-D4A4-4F9A-9759-6687D72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05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63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63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6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66F2E58-2ECD-4795-9A0A-3EA15DB0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Crook, Eugene</dc:creator>
  <cp:keywords/>
  <dc:description/>
  <cp:lastModifiedBy>Eugene Crook</cp:lastModifiedBy>
  <cp:revision>2</cp:revision>
  <cp:lastPrinted>2019-03-15T22:45:00Z</cp:lastPrinted>
  <dcterms:created xsi:type="dcterms:W3CDTF">2020-10-12T22:00:00Z</dcterms:created>
  <dcterms:modified xsi:type="dcterms:W3CDTF">2020-10-12T22:00:00Z</dcterms:modified>
</cp:coreProperties>
</file>