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6DCD" w14:textId="77777777" w:rsidR="007B77A7" w:rsidRPr="009517CD" w:rsidRDefault="00E60B2D" w:rsidP="00E60B2D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174 Ignis</w:t>
      </w:r>
    </w:p>
    <w:p w14:paraId="33CE3CFF" w14:textId="77777777" w:rsidR="00CA413B" w:rsidRPr="009517CD" w:rsidRDefault="00E60B2D" w:rsidP="00E60B2D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Triplex ignis legitur, spiritualis, artificialis, naturalis. E quibus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aliquis ignis lucet set non vrit ut ignis emperei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celi. Aliquis vrit sed 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non lucet ut ignis inferni, ali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quis lucet et vrit ut ignis camini. </w:t>
      </w:r>
    </w:p>
    <w:p w14:paraId="0A06CF38" w14:textId="77777777" w:rsidR="00CA413B" w:rsidRPr="009517CD" w:rsidRDefault="00CA413B" w:rsidP="00E60B2D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naturalis et vsu</w:t>
      </w:r>
      <w:r w:rsidR="00E60B2D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alis pascitur et consumit. Ignis solaris consumit et non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60B2D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pascitur. </w:t>
      </w:r>
    </w:p>
    <w:p w14:paraId="42483CE2" w14:textId="77777777" w:rsidR="00CA413B" w:rsidRPr="009517CD" w:rsidRDefault="00E60B2D" w:rsidP="001D565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ignis culpe pene gratiae. Primus est liuor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F575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inuidice siu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 ardor concupiscenie</w:t>
      </w:r>
      <w:r w:rsidR="00223142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 quo Psal. [57:9]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: </w:t>
      </w:r>
      <w:r w:rsidR="00962B9B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</w:t>
      </w:r>
      <w:r w:rsidR="001D565F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upercecidit, et non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vidit </w:t>
      </w:r>
      <w:r w:rsidR="001D565F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solem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 Secu</w:t>
      </w:r>
      <w:r w:rsidR="00AA6E6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ndus est dolor compunctionis siu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 meror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compassionis</w:t>
      </w:r>
      <w:r w:rsidR="00223142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 quibus Apostolus [Rom. 12:20]: </w:t>
      </w:r>
      <w:r w:rsidR="00962B9B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</w:t>
      </w:r>
      <w:r w:rsidR="001D565F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arbones ignis congeres super caput ejus</w:t>
      </w:r>
      <w:r w:rsidR="001D565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68548403" w14:textId="77777777" w:rsidR="00CA413B" w:rsidRPr="009517CD" w:rsidRDefault="001D565F" w:rsidP="001D565F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 Psal [38:4]: </w:t>
      </w:r>
      <w:r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Concaluit cor meum intra me; et in meditatione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 Tertius est feruor caritatis</w:t>
      </w:r>
      <w:r w:rsidR="00962B9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 quo Luc. 12[</w:t>
      </w:r>
      <w:r w:rsidR="005B154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:49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5B154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: </w:t>
      </w:r>
      <w:r w:rsidR="00CA413B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Ig</w:t>
      </w:r>
      <w:r w:rsidR="005B154C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nem veni mittere in terram</w:t>
      </w:r>
      <w:r w:rsidR="005B154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0D596619" w14:textId="77777777" w:rsidR="00976FF4" w:rsidRPr="009517CD" w:rsidRDefault="005B154C" w:rsidP="00976FF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ignis diabolis</w:t>
      </w:r>
      <w:r w:rsidR="00E4499E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 quo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Job [1:16]: </w:t>
      </w:r>
      <w:r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Ignis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 </w:t>
      </w:r>
      <w:r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celo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cecidit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super illud est ignis an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gelicus,</w:t>
      </w:r>
      <w:r w:rsidR="00976F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[Hebr. 1:7]: </w:t>
      </w:r>
      <w:r w:rsidR="00976FF4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Qui facit angelos suos spiritus</w:t>
      </w:r>
      <w:r w:rsidR="00976F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est </w:t>
      </w:r>
      <w:r w:rsidR="00976FF4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ignis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Domi</w:t>
      </w:r>
      <w:r w:rsidR="00976F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nis de quo Deut. 4[:24]: </w:t>
      </w:r>
      <w:r w:rsidR="00976FF4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Deus </w:t>
      </w:r>
      <w:r w:rsidR="00976F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noster </w:t>
      </w:r>
      <w:r w:rsidR="00976FF4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ignis consumens est</w:t>
      </w:r>
      <w:r w:rsidR="00976F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39AE7BFD" w14:textId="77777777" w:rsidR="00CA413B" w:rsidRPr="009517CD" w:rsidRDefault="00976FF4" w:rsidP="00976FF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ignis attrahit suo calore</w:t>
      </w:r>
      <w:r w:rsidR="00435A8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consumit suo ardore</w:t>
      </w:r>
      <w:r w:rsidR="00435A8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accendit suo vapore</w:t>
      </w:r>
      <w:r w:rsidR="00435A8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sic dilectio. </w:t>
      </w:r>
    </w:p>
    <w:p w14:paraId="75D76782" w14:textId="77777777" w:rsidR="00CA413B" w:rsidRPr="009517CD" w:rsidRDefault="00976FF4" w:rsidP="00976FF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ignis dat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splendorem</w:t>
      </w:r>
      <w:r w:rsidR="00435A8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calorem</w:t>
      </w:r>
      <w:r w:rsidR="00435A8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 colorem. </w:t>
      </w:r>
    </w:p>
    <w:p w14:paraId="63AAD4D2" w14:textId="77777777" w:rsidR="008B34E3" w:rsidRPr="009517CD" w:rsidRDefault="00976FF4" w:rsidP="008B34E3">
      <w:pPr>
        <w:spacing w:line="480" w:lineRule="auto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 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ignis in sacra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scriptura signat Spiritum Sanctum. Inde est quod dabatur apostolis in linguis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B34E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igneis, Act. 2[:3]. Ratio est quia sicut ignis consumit et purgat terrestia</w:t>
      </w:r>
      <w:r w:rsidR="003174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 sic Spiritus Sanctus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8B34E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Luc. 12[:49]: </w:t>
      </w:r>
      <w:r w:rsidR="008B34E3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Ignem veni mittere in terram.</w:t>
      </w:r>
    </w:p>
    <w:p w14:paraId="2BB35A07" w14:textId="77777777" w:rsidR="00CA413B" w:rsidRPr="009517CD" w:rsidRDefault="008B34E3" w:rsidP="00847983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 Aliqua est terra que non fructificat nec aliud videlicet donec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ignis transeat per eam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tal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is fuit anima nostra ante aduen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tum Spiritus Sancti,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[Lam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1:13]: </w:t>
      </w:r>
      <w:r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 excelso misit ignem in ossibus meis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1A917AF0" w14:textId="77777777" w:rsidR="00CA413B" w:rsidRPr="009517CD" w:rsidRDefault="008B34E3" w:rsidP="00847983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Item</w:t>
      </w:r>
      <w:r w:rsidR="00720E4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 Psal. 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[38:4]: </w:t>
      </w:r>
      <w:r w:rsidR="00847983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In meditatione mea exardescet ignis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 Quia ad deuotam oracionem hominis Deus inmittit ignem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Spiritus Sanc</w:t>
      </w:r>
      <w:r w:rsidR="00B3263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 quasi necessitate nature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am in natura ita est quod quando est vacuitas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in a</w:t>
      </w:r>
      <w:r w:rsidR="004C6349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lia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natura inferiori</w:t>
      </w:r>
      <w:r w:rsidR="004C6349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6349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uperior</w:t>
      </w:r>
      <w:r w:rsidR="004C6349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atura</w:t>
      </w:r>
      <w:r w:rsidR="00B3263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statim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descendit ad implen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dum illam vacuitatem ne sit vacuit in natura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ut patet de aqua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respectu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terre et de aere 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respectu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aque</w:t>
      </w:r>
      <w:r w:rsidR="00320D5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 I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mmo ignis Spiritus Sancti est in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mediate</w:t>
      </w:r>
      <w:r w:rsidR="005C20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C20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st super aquam rationalem et ideo quando anima est vacua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4798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ab amore mundi ignis Spiritus Sancti </w:t>
      </w:r>
      <w:r w:rsidR="00B3263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repl</w:t>
      </w:r>
      <w:r w:rsidR="001A3B2D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et eam. </w:t>
      </w:r>
    </w:p>
    <w:p w14:paraId="5A260C19" w14:textId="18EDDADB" w:rsidR="00CA413B" w:rsidRPr="009517CD" w:rsidRDefault="001A3B2D" w:rsidP="00847983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 Gentiles solebant amicos suos comburere igne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 morte credentes ignem esse </w:t>
      </w:r>
      <w:r w:rsidR="005C20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eum</w:t>
      </w:r>
      <w:r w:rsidR="005C20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 sic per hoc cre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debant eos deificari</w:t>
      </w:r>
      <w:r w:rsidR="005C20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C20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ales fuer</w:t>
      </w:r>
      <w:bookmarkStart w:id="0" w:name="_GoBack"/>
      <w:bookmarkEnd w:id="0"/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unt Caldei secundum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Hieronimus, </w:t>
      </w:r>
      <w:r w:rsidR="005315F4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Super Genesis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c. </w:t>
      </w:r>
      <w:r w:rsidR="00444711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11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 Cum ignis Spiritus Sancti deificabat</w:t>
      </w:r>
      <w:r w:rsidR="006F162E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5315F4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credentes disponamus nos ut isto igne possumus igniri. </w:t>
      </w:r>
    </w:p>
    <w:p w14:paraId="00AAFCCB" w14:textId="77777777" w:rsidR="00CA413B" w:rsidRPr="009517CD" w:rsidRDefault="005315F4" w:rsidP="00847983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Item</w:t>
      </w:r>
      <w:r w:rsidR="00444711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Gen. 15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[:1-19]: Abraham ex praecepto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Domini parauit sacrificium et Dominus </w:t>
      </w:r>
      <w:r w:rsidR="00DE656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in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misit ignem qui illud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consumpsit et tunc Dominus pepigit cum ill</w:t>
      </w:r>
      <w:r w:rsidR="00DE656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o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fedus</w:t>
      </w:r>
      <w:r w:rsidR="006717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6717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ic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quando homo parat cor suum Deo Dominus inmittit ignem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Spiritus Sancti et pac</w:t>
      </w:r>
      <w:r w:rsidR="006717F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tum facit de hereditate celesti. S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ed ibi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notandum est quod antequam ignis descenderat volucres descenderant super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sacrificium quas Abraham abige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bat. Sic antequam gratiam descen</w:t>
      </w:r>
      <w:r w:rsidR="00DE656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dat super c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or hominis temp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tationes occurrunt volatiles quas vir sanctus nititur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E78BF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abigere, Matt. 13[:4]</w:t>
      </w:r>
      <w:r w:rsidR="00C74C31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: </w:t>
      </w:r>
      <w:r w:rsidR="00C74C31"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Volucres celi comederunt illud</w:t>
      </w:r>
      <w:r w:rsidR="006651F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 id est, v</w:t>
      </w:r>
      <w:r w:rsidR="00C74C31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erbum Dei. </w:t>
      </w:r>
    </w:p>
    <w:p w14:paraId="3AB0A5D4" w14:textId="77F1B2C3" w:rsidR="00CA413B" w:rsidRPr="009517CD" w:rsidRDefault="00C74C31" w:rsidP="00847983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 Nota hic quod dicit Josephus super secundum librum Macch. [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2:10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]</w:t>
      </w:r>
      <w:r w:rsidR="001C0A81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quod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ad p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aec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es vnius sancti viri ignis descendit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de celo et fit perpetuus in terra Judeorum 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donec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Romani ve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nirent et potestatem super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eos haberent et ipsi Iudei ven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dendo sacerdoci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um peccarent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unc ignis ille ex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tinctus est et in loco eius inuenta est aqua crassa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sic est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quando homo peccat extingui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 ignem et reperitur ibi quassi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tudo voluptatis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ic not</w:t>
      </w:r>
      <w:r w:rsidR="00DE656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 hic quod corona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="00DE656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nobilium olim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com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burebantur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nec in terra ponebantur propter vilitatem materie</w:t>
      </w:r>
      <w:r w:rsidR="00222730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E656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nec in aqua ne a belu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is deuorarentur. Vnde contigit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E3B3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/f. 51va/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2102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semel inter tales quod cor </w:t>
      </w:r>
      <w:r w:rsidR="0032102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cuiusdam talis nobilis non potuit comburi.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2102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Et inquisita ratione a medicis responsum est quod cor illud illum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veneno infe</w:t>
      </w:r>
      <w:r w:rsidR="0032102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ctum fuit</w:t>
      </w:r>
      <w:r w:rsidR="00DB3878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32102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sic spiritualiter quando cor hominis est peccato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infe</w:t>
      </w:r>
      <w:r w:rsidR="00321027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ctum non potest igniri a Spiritu Sancto. </w:t>
      </w:r>
    </w:p>
    <w:p w14:paraId="25D684B2" w14:textId="77777777" w:rsidR="0096359C" w:rsidRPr="009517CD" w:rsidRDefault="00321027" w:rsidP="00321027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 De igne inferni scribitur</w:t>
      </w:r>
      <w:r w:rsidR="00CA413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B3878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legitur Job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20[:26]: </w:t>
      </w:r>
      <w:r w:rsidRPr="009517C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Devorabit eum ignis non succenditur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582F6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1AD54F7" w14:textId="77777777" w:rsidR="0096359C" w:rsidRPr="009517CD" w:rsidRDefault="00582F66" w:rsidP="00321027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¶ Item</w:t>
      </w:r>
      <w:r w:rsidR="007D736B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ota quod ignis triplicem habet effec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tum naturalem</w:t>
      </w:r>
      <w:r w:rsidR="0057270E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 violentem,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 mira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bilem. Ignis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quippe naturaliter ascendit violenter descendit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sicut patet in figura. Tertio mirabiliter affligit 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spiritus et parc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 combus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tibilibus sicut patet Dan. 3[:</w:t>
      </w:r>
      <w:r w:rsidR="004B2BF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22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] vbi i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gnis combuscit ministros natura</w:t>
      </w:r>
      <w:r w:rsidR="004B2BF6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liter. Tribus pueris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mirabiliter pepa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ci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t. </w:t>
      </w:r>
    </w:p>
    <w:p w14:paraId="61A15953" w14:textId="0E63CD51" w:rsidR="00BC03C5" w:rsidRPr="009517CD" w:rsidRDefault="004B2BF6" w:rsidP="00321027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Item</w:t>
      </w:r>
      <w:r w:rsidR="00606D91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nota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quod in igne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est motus celerior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virtus nobilior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actus efficacior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situs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superior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rimum patet qui</w:t>
      </w:r>
      <w:r w:rsidR="009642C3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="00B60F1E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semper est mobilis et tamen in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alterabilis</w:t>
      </w:r>
      <w:r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sic</w:t>
      </w:r>
      <w:r w:rsidR="0096359C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BC03C5" w:rsidRPr="009517CD">
        <w:rPr>
          <w:rFonts w:ascii="Times New Roman" w:hAnsi="Times New Roman" w:cs="Times New Roman"/>
          <w:noProof/>
          <w:sz w:val="24"/>
          <w:szCs w:val="24"/>
          <w:lang w:val="en-US"/>
        </w:rPr>
        <w:t>spiritus in se stabilis dat cuncta moueri.</w:t>
      </w:r>
    </w:p>
    <w:sectPr w:rsidR="00BC03C5" w:rsidRPr="009517CD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C177" w14:textId="77777777" w:rsidR="00715B34" w:rsidRDefault="00715B34" w:rsidP="00BC03C5">
      <w:pPr>
        <w:spacing w:after="0" w:line="240" w:lineRule="auto"/>
      </w:pPr>
      <w:r>
        <w:separator/>
      </w:r>
    </w:p>
  </w:endnote>
  <w:endnote w:type="continuationSeparator" w:id="0">
    <w:p w14:paraId="138CEED8" w14:textId="77777777" w:rsidR="00715B34" w:rsidRDefault="00715B34" w:rsidP="00BC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BDF1" w14:textId="77777777" w:rsidR="00715B34" w:rsidRDefault="00715B34" w:rsidP="00BC03C5">
      <w:pPr>
        <w:spacing w:after="0" w:line="240" w:lineRule="auto"/>
      </w:pPr>
      <w:r>
        <w:separator/>
      </w:r>
    </w:p>
  </w:footnote>
  <w:footnote w:type="continuationSeparator" w:id="0">
    <w:p w14:paraId="2B19BD26" w14:textId="77777777" w:rsidR="00715B34" w:rsidRDefault="00715B34" w:rsidP="00BC0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2D"/>
    <w:rsid w:val="00042AC7"/>
    <w:rsid w:val="001452A0"/>
    <w:rsid w:val="001A3B2D"/>
    <w:rsid w:val="001C0A81"/>
    <w:rsid w:val="001D565F"/>
    <w:rsid w:val="00222730"/>
    <w:rsid w:val="00223142"/>
    <w:rsid w:val="00317483"/>
    <w:rsid w:val="00320D55"/>
    <w:rsid w:val="00321027"/>
    <w:rsid w:val="003415E3"/>
    <w:rsid w:val="00367BDA"/>
    <w:rsid w:val="00384E40"/>
    <w:rsid w:val="003E3B36"/>
    <w:rsid w:val="00435A8C"/>
    <w:rsid w:val="00444711"/>
    <w:rsid w:val="004B2BF6"/>
    <w:rsid w:val="004C6349"/>
    <w:rsid w:val="004C68AC"/>
    <w:rsid w:val="005315F4"/>
    <w:rsid w:val="0057270E"/>
    <w:rsid w:val="00580532"/>
    <w:rsid w:val="00582F66"/>
    <w:rsid w:val="005B154C"/>
    <w:rsid w:val="005C20F3"/>
    <w:rsid w:val="00606D91"/>
    <w:rsid w:val="006651F5"/>
    <w:rsid w:val="006717F3"/>
    <w:rsid w:val="006F162E"/>
    <w:rsid w:val="00715B34"/>
    <w:rsid w:val="00720E4B"/>
    <w:rsid w:val="007B77A7"/>
    <w:rsid w:val="007D736B"/>
    <w:rsid w:val="007E78BF"/>
    <w:rsid w:val="00847983"/>
    <w:rsid w:val="008B34E3"/>
    <w:rsid w:val="008E12B1"/>
    <w:rsid w:val="009517CD"/>
    <w:rsid w:val="00962B9B"/>
    <w:rsid w:val="0096359C"/>
    <w:rsid w:val="009642C3"/>
    <w:rsid w:val="009748BD"/>
    <w:rsid w:val="00976FF4"/>
    <w:rsid w:val="00A24F08"/>
    <w:rsid w:val="00AA6E6F"/>
    <w:rsid w:val="00B32637"/>
    <w:rsid w:val="00B60F1E"/>
    <w:rsid w:val="00B730C7"/>
    <w:rsid w:val="00BC03C5"/>
    <w:rsid w:val="00C74C31"/>
    <w:rsid w:val="00C77786"/>
    <w:rsid w:val="00CA413B"/>
    <w:rsid w:val="00CD10AA"/>
    <w:rsid w:val="00D146E9"/>
    <w:rsid w:val="00DB3878"/>
    <w:rsid w:val="00DE656C"/>
    <w:rsid w:val="00E4499E"/>
    <w:rsid w:val="00E60B2D"/>
    <w:rsid w:val="00E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B548"/>
  <w15:docId w15:val="{FC0E9759-E633-45B2-8291-6570E26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a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C03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3C5"/>
    <w:rPr>
      <w:sz w:val="20"/>
      <w:szCs w:val="20"/>
      <w:lang w:val="la-Latn"/>
    </w:rPr>
  </w:style>
  <w:style w:type="character" w:styleId="EndnoteReference">
    <w:name w:val="endnote reference"/>
    <w:basedOn w:val="DefaultParagraphFont"/>
    <w:uiPriority w:val="99"/>
    <w:semiHidden/>
    <w:unhideWhenUsed/>
    <w:rsid w:val="00BC03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C7"/>
    <w:rPr>
      <w:rFonts w:ascii="Tahoma" w:hAnsi="Tahoma" w:cs="Tahoma"/>
      <w:sz w:val="16"/>
      <w:szCs w:val="16"/>
      <w:lang w:val="la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66CB-6CC4-44A0-A0F9-C7EA85C5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2</cp:revision>
  <cp:lastPrinted>2020-09-23T21:00:00Z</cp:lastPrinted>
  <dcterms:created xsi:type="dcterms:W3CDTF">2020-09-23T21:02:00Z</dcterms:created>
  <dcterms:modified xsi:type="dcterms:W3CDTF">2020-09-23T21:02:00Z</dcterms:modified>
</cp:coreProperties>
</file>