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2A1EF" w14:textId="77777777" w:rsidR="001D5659" w:rsidRPr="005C2B0C" w:rsidRDefault="00AC188E" w:rsidP="00583194">
      <w:pPr>
        <w:spacing w:line="480" w:lineRule="auto"/>
        <w:rPr>
          <w:rFonts w:ascii="Times New Roman" w:hAnsi="Times New Roman" w:cs="Times New Roman"/>
          <w:sz w:val="24"/>
          <w:szCs w:val="24"/>
        </w:rPr>
      </w:pPr>
      <w:r w:rsidRPr="005C2B0C">
        <w:rPr>
          <w:rFonts w:ascii="Times New Roman" w:hAnsi="Times New Roman" w:cs="Times New Roman"/>
          <w:sz w:val="24"/>
          <w:szCs w:val="24"/>
        </w:rPr>
        <w:t>7 Adiutorium uel A</w:t>
      </w:r>
      <w:r w:rsidR="001D5659" w:rsidRPr="005C2B0C">
        <w:rPr>
          <w:rFonts w:ascii="Times New Roman" w:hAnsi="Times New Roman" w:cs="Times New Roman"/>
          <w:sz w:val="24"/>
          <w:szCs w:val="24"/>
        </w:rPr>
        <w:t>uxilium</w:t>
      </w:r>
    </w:p>
    <w:p w14:paraId="4C9B0319" w14:textId="317CE4DC" w:rsidR="00AC188E" w:rsidRPr="005C2B0C" w:rsidRDefault="001D5659" w:rsidP="00AC188E">
      <w:pPr>
        <w:spacing w:line="480" w:lineRule="auto"/>
        <w:rPr>
          <w:rFonts w:ascii="Times New Roman" w:hAnsi="Times New Roman" w:cs="Times New Roman"/>
          <w:sz w:val="24"/>
          <w:szCs w:val="24"/>
        </w:rPr>
      </w:pPr>
      <w:r w:rsidRPr="005C2B0C">
        <w:rPr>
          <w:rFonts w:ascii="Times New Roman" w:hAnsi="Times New Roman" w:cs="Times New Roman"/>
          <w:sz w:val="24"/>
          <w:szCs w:val="24"/>
        </w:rPr>
        <w:t xml:space="preserve">Apud omnes gentes consuetum est adiutorium petere a domino potenciore. Vnde, Sap. 13[:18], dicitur de ydolatria, </w:t>
      </w:r>
      <w:r w:rsidRPr="005C2B0C">
        <w:rPr>
          <w:rFonts w:ascii="Times New Roman" w:hAnsi="Times New Roman" w:cs="Times New Roman"/>
          <w:i/>
          <w:iCs/>
          <w:sz w:val="24"/>
          <w:szCs w:val="24"/>
        </w:rPr>
        <w:t>In adiutorium inutilem inuocat.</w:t>
      </w:r>
      <w:r w:rsidRPr="005C2B0C">
        <w:rPr>
          <w:rFonts w:ascii="Times New Roman" w:hAnsi="Times New Roman" w:cs="Times New Roman"/>
          <w:sz w:val="24"/>
          <w:szCs w:val="24"/>
        </w:rPr>
        <w:t xml:space="preserve"> </w:t>
      </w:r>
    </w:p>
    <w:p w14:paraId="71D2B58A" w14:textId="557F7F77" w:rsidR="001D5659" w:rsidRPr="005C2B0C" w:rsidRDefault="001D5659" w:rsidP="00AC188E">
      <w:pPr>
        <w:spacing w:line="480" w:lineRule="auto"/>
        <w:rPr>
          <w:rFonts w:ascii="Times New Roman" w:hAnsi="Times New Roman" w:cs="Times New Roman"/>
          <w:sz w:val="24"/>
          <w:szCs w:val="24"/>
        </w:rPr>
      </w:pPr>
      <w:r w:rsidRPr="005C2B0C">
        <w:rPr>
          <w:rFonts w:ascii="Times New Roman" w:hAnsi="Times New Roman" w:cs="Times New Roman"/>
          <w:sz w:val="24"/>
          <w:szCs w:val="24"/>
        </w:rPr>
        <w:t xml:space="preserve">Sic recitat Boethius, 3, </w:t>
      </w:r>
      <w:r w:rsidRPr="005C2B0C">
        <w:rPr>
          <w:rFonts w:ascii="Times New Roman" w:hAnsi="Times New Roman" w:cs="Times New Roman"/>
          <w:i/>
          <w:iCs/>
          <w:sz w:val="24"/>
          <w:szCs w:val="24"/>
        </w:rPr>
        <w:t>De consolacione</w:t>
      </w:r>
      <w:r w:rsidRPr="005C2B0C">
        <w:rPr>
          <w:rFonts w:ascii="Times New Roman" w:hAnsi="Times New Roman" w:cs="Times New Roman"/>
          <w:sz w:val="24"/>
          <w:szCs w:val="24"/>
        </w:rPr>
        <w:t xml:space="preserve">, prosa 9, quod Platoni placuit eciam in minimis rebus diuinum implorare presidium, quo pretermisso, secundum Boethium, nullum rite fundatur exordium. Nam secundum Psalmum [90:1]: </w:t>
      </w:r>
      <w:r w:rsidRPr="005C2B0C">
        <w:rPr>
          <w:rFonts w:ascii="Times New Roman" w:hAnsi="Times New Roman" w:cs="Times New Roman"/>
          <w:i/>
          <w:iCs/>
          <w:sz w:val="24"/>
          <w:szCs w:val="24"/>
        </w:rPr>
        <w:t>Qui habitat in adiutorio Altissimi, in protectione Dei celi commorabitur</w:t>
      </w:r>
      <w:r w:rsidRPr="005C2B0C">
        <w:rPr>
          <w:rFonts w:ascii="Times New Roman" w:hAnsi="Times New Roman" w:cs="Times New Roman"/>
          <w:sz w:val="24"/>
          <w:szCs w:val="24"/>
        </w:rPr>
        <w:t xml:space="preserve">. Istud patet specialiter in bellis Machabeorum contra Lisiam. Orat [2 Macc.] 11[:10]: Vbi dicitur </w:t>
      </w:r>
      <w:r w:rsidRPr="005C2B0C">
        <w:rPr>
          <w:rFonts w:ascii="Times New Roman" w:hAnsi="Times New Roman" w:cs="Times New Roman"/>
          <w:i/>
          <w:iCs/>
          <w:sz w:val="24"/>
          <w:szCs w:val="24"/>
        </w:rPr>
        <w:t xml:space="preserve">Ibant prompti de celo, habentes adiutorem, </w:t>
      </w:r>
      <w:r w:rsidRPr="005C2B0C">
        <w:rPr>
          <w:rFonts w:ascii="Times New Roman" w:hAnsi="Times New Roman" w:cs="Times New Roman"/>
          <w:sz w:val="24"/>
          <w:szCs w:val="24"/>
        </w:rPr>
        <w:t xml:space="preserve">et preualuerunt. Et filii Israel castrametati sunt contra Philistiim </w:t>
      </w:r>
      <w:r w:rsidRPr="005C2B0C">
        <w:rPr>
          <w:rFonts w:ascii="Times New Roman" w:hAnsi="Times New Roman" w:cs="Times New Roman"/>
          <w:i/>
          <w:iCs/>
          <w:sz w:val="24"/>
          <w:szCs w:val="24"/>
        </w:rPr>
        <w:t>iuxta lapidem adiutorii.</w:t>
      </w:r>
      <w:r w:rsidRPr="005C2B0C">
        <w:rPr>
          <w:rFonts w:ascii="Times New Roman" w:hAnsi="Times New Roman" w:cs="Times New Roman"/>
          <w:sz w:val="24"/>
          <w:szCs w:val="24"/>
        </w:rPr>
        <w:t xml:space="preserve"> Econtro Christus, de quo Zaca. 3[:9]: </w:t>
      </w:r>
      <w:r w:rsidRPr="005C2B0C">
        <w:rPr>
          <w:rFonts w:ascii="Times New Roman" w:hAnsi="Times New Roman" w:cs="Times New Roman"/>
          <w:i/>
          <w:iCs/>
          <w:sz w:val="24"/>
          <w:szCs w:val="24"/>
        </w:rPr>
        <w:t>Super lapidem vnum septem oculi sunt</w:t>
      </w:r>
      <w:r w:rsidRPr="005C2B0C">
        <w:rPr>
          <w:rFonts w:ascii="Times New Roman" w:hAnsi="Times New Roman" w:cs="Times New Roman"/>
          <w:sz w:val="24"/>
          <w:szCs w:val="24"/>
        </w:rPr>
        <w:t xml:space="preserve">, id est, septem dona Spiritus Sancti, inter que vnum est donum fortitudinis, Ysa. 11[:2]. </w:t>
      </w:r>
    </w:p>
    <w:p w14:paraId="3B8B58B5" w14:textId="3D50DC9D" w:rsidR="001D5659" w:rsidRPr="005C2B0C" w:rsidRDefault="001D5659" w:rsidP="00AC188E">
      <w:pPr>
        <w:spacing w:line="480" w:lineRule="auto"/>
        <w:rPr>
          <w:rFonts w:ascii="Times New Roman" w:hAnsi="Times New Roman" w:cs="Times New Roman"/>
          <w:sz w:val="24"/>
          <w:szCs w:val="24"/>
        </w:rPr>
      </w:pPr>
      <w:r w:rsidRPr="005C2B0C">
        <w:rPr>
          <w:rFonts w:ascii="Times New Roman" w:hAnsi="Times New Roman" w:cs="Times New Roman"/>
          <w:sz w:val="24"/>
          <w:szCs w:val="24"/>
        </w:rPr>
        <w:t>Vnde, C</w:t>
      </w:r>
      <w:r w:rsidR="005C2B0C" w:rsidRPr="005C2B0C">
        <w:rPr>
          <w:rFonts w:ascii="Times New Roman" w:hAnsi="Times New Roman" w:cs="Times New Roman"/>
          <w:sz w:val="24"/>
          <w:szCs w:val="24"/>
        </w:rPr>
        <w:t>h</w:t>
      </w:r>
      <w:r w:rsidRPr="005C2B0C">
        <w:rPr>
          <w:rFonts w:ascii="Times New Roman" w:hAnsi="Times New Roman" w:cs="Times New Roman"/>
          <w:sz w:val="24"/>
          <w:szCs w:val="24"/>
        </w:rPr>
        <w:t xml:space="preserve">risostomus, </w:t>
      </w:r>
      <w:bookmarkStart w:id="0" w:name="_Hlk532729938"/>
      <w:r w:rsidRPr="005C2B0C">
        <w:rPr>
          <w:rFonts w:ascii="Times New Roman" w:hAnsi="Times New Roman" w:cs="Times New Roman"/>
          <w:i/>
          <w:iCs/>
          <w:sz w:val="24"/>
          <w:szCs w:val="24"/>
        </w:rPr>
        <w:t>Super Matthaeum,</w:t>
      </w:r>
      <w:r w:rsidRPr="005C2B0C">
        <w:rPr>
          <w:rFonts w:ascii="Times New Roman" w:hAnsi="Times New Roman" w:cs="Times New Roman"/>
          <w:sz w:val="24"/>
          <w:szCs w:val="24"/>
        </w:rPr>
        <w:t xml:space="preserve"> homelia 30</w:t>
      </w:r>
      <w:bookmarkEnd w:id="0"/>
      <w:r w:rsidRPr="005C2B0C">
        <w:rPr>
          <w:rFonts w:ascii="Times New Roman" w:hAnsi="Times New Roman" w:cs="Times New Roman"/>
          <w:sz w:val="24"/>
          <w:szCs w:val="24"/>
        </w:rPr>
        <w:t>, sicut nauis, fracto gubernaculo, illuc ducitur quo tempestas voluerit, sic et homo,</w:t>
      </w:r>
      <w:r w:rsidR="005C2B0C" w:rsidRPr="005C2B0C">
        <w:rPr>
          <w:rStyle w:val="EndnoteReference"/>
          <w:rFonts w:ascii="Times New Roman" w:hAnsi="Times New Roman" w:cs="Times New Roman"/>
          <w:sz w:val="24"/>
          <w:szCs w:val="24"/>
        </w:rPr>
        <w:endnoteReference w:id="1"/>
      </w:r>
      <w:r w:rsidRPr="005C2B0C">
        <w:rPr>
          <w:rFonts w:ascii="Times New Roman" w:hAnsi="Times New Roman" w:cs="Times New Roman"/>
          <w:sz w:val="24"/>
          <w:szCs w:val="24"/>
        </w:rPr>
        <w:t xml:space="preserve"> diuine gracie adiutorio /f.2vb/ [perdito per] peccatum non quod vult agit, set quod diabolus vult. Vnde Bernardus, de </w:t>
      </w:r>
      <w:bookmarkStart w:id="1" w:name="_Hlk532730114"/>
      <w:r w:rsidRPr="005C2B0C">
        <w:rPr>
          <w:rFonts w:ascii="Times New Roman" w:hAnsi="Times New Roman" w:cs="Times New Roman"/>
          <w:i/>
          <w:iCs/>
          <w:sz w:val="24"/>
          <w:szCs w:val="24"/>
        </w:rPr>
        <w:t>Sermone de aduentu</w:t>
      </w:r>
      <w:bookmarkEnd w:id="1"/>
      <w:r w:rsidRPr="005C2B0C">
        <w:rPr>
          <w:rFonts w:ascii="Times New Roman" w:hAnsi="Times New Roman" w:cs="Times New Roman"/>
          <w:sz w:val="24"/>
          <w:szCs w:val="24"/>
        </w:rPr>
        <w:t xml:space="preserve">, faciles sumus ad seducendum, debiles ad operandum, fragiles ad resistendum. Si discernere voluimus inter bonum et malum, decipimur. Si temptamus facere bonum, </w:t>
      </w:r>
      <w:r w:rsidRPr="005C2B0C">
        <w:rPr>
          <w:rFonts w:ascii="Times New Roman" w:hAnsi="Times New Roman" w:cs="Times New Roman"/>
        </w:rPr>
        <w:t>deficimus</w:t>
      </w:r>
      <w:r w:rsidR="005C2B0C" w:rsidRPr="005C2B0C">
        <w:rPr>
          <w:rFonts w:ascii="Times New Roman" w:hAnsi="Times New Roman" w:cs="Times New Roman"/>
        </w:rPr>
        <w:t>.</w:t>
      </w:r>
      <w:r w:rsidR="005C2B0C" w:rsidRPr="005C2B0C">
        <w:rPr>
          <w:rStyle w:val="EndnoteReference"/>
          <w:rFonts w:ascii="Times New Roman" w:hAnsi="Times New Roman" w:cs="Times New Roman"/>
        </w:rPr>
        <w:endnoteReference w:id="2"/>
      </w:r>
      <w:r w:rsidR="005C2B0C" w:rsidRPr="005C2B0C">
        <w:rPr>
          <w:rFonts w:ascii="Times New Roman" w:hAnsi="Times New Roman" w:cs="Times New Roman"/>
        </w:rPr>
        <w:t xml:space="preserve"> </w:t>
      </w:r>
      <w:r w:rsidRPr="005C2B0C">
        <w:rPr>
          <w:rFonts w:ascii="Times New Roman" w:hAnsi="Times New Roman" w:cs="Times New Roman"/>
          <w:sz w:val="24"/>
          <w:szCs w:val="24"/>
        </w:rPr>
        <w:t xml:space="preserve"> Si conamur resistere malo, </w:t>
      </w:r>
      <w:r w:rsidRPr="005C2B0C">
        <w:rPr>
          <w:rFonts w:ascii="Times New Roman" w:hAnsi="Times New Roman" w:cs="Times New Roman"/>
        </w:rPr>
        <w:t>deicimur</w:t>
      </w:r>
      <w:r w:rsidRPr="005C2B0C">
        <w:rPr>
          <w:rFonts w:ascii="Times New Roman" w:hAnsi="Times New Roman" w:cs="Times New Roman"/>
          <w:sz w:val="24"/>
          <w:szCs w:val="24"/>
        </w:rPr>
        <w:t xml:space="preserve"> et superamur.</w:t>
      </w:r>
      <w:r w:rsidR="00AC188E" w:rsidRPr="005C2B0C">
        <w:rPr>
          <w:rFonts w:ascii="Times New Roman" w:hAnsi="Times New Roman" w:cs="Times New Roman"/>
          <w:sz w:val="24"/>
          <w:szCs w:val="24"/>
        </w:rPr>
        <w:t xml:space="preserve"> </w:t>
      </w:r>
      <w:r w:rsidRPr="005C2B0C">
        <w:rPr>
          <w:rFonts w:ascii="Times New Roman" w:hAnsi="Times New Roman" w:cs="Times New Roman"/>
          <w:sz w:val="24"/>
          <w:szCs w:val="24"/>
        </w:rPr>
        <w:t xml:space="preserve">Ideo, omni adiutorio indigemus. Ideo, Eccli. 51[:10], dicitur, </w:t>
      </w:r>
      <w:r w:rsidRPr="005C2B0C">
        <w:rPr>
          <w:rFonts w:ascii="Times New Roman" w:hAnsi="Times New Roman" w:cs="Times New Roman"/>
          <w:i/>
          <w:iCs/>
          <w:sz w:val="24"/>
          <w:szCs w:val="24"/>
        </w:rPr>
        <w:t>Circumdederunt me vndique et non</w:t>
      </w:r>
      <w:r w:rsidRPr="005C2B0C">
        <w:rPr>
          <w:rFonts w:ascii="Times New Roman" w:hAnsi="Times New Roman" w:cs="Times New Roman"/>
          <w:sz w:val="24"/>
          <w:szCs w:val="24"/>
        </w:rPr>
        <w:t xml:space="preserve"> fuit </w:t>
      </w:r>
      <w:r w:rsidRPr="005C2B0C">
        <w:rPr>
          <w:rFonts w:ascii="Times New Roman" w:hAnsi="Times New Roman" w:cs="Times New Roman"/>
          <w:i/>
          <w:iCs/>
          <w:sz w:val="24"/>
          <w:szCs w:val="24"/>
        </w:rPr>
        <w:t>qui adiuuaret. Respiciens eram ad adiutorium hominum et non erat</w:t>
      </w:r>
      <w:r w:rsidRPr="005C2B0C">
        <w:rPr>
          <w:rFonts w:ascii="Times New Roman" w:hAnsi="Times New Roman" w:cs="Times New Roman"/>
          <w:sz w:val="24"/>
          <w:szCs w:val="24"/>
        </w:rPr>
        <w:t xml:space="preserve">. Exod. 30[:11-13], precepit Deus Moysi quod iuuaret populum ex quibus darent Dei ciclum, vt Deus esset in adiutorium, et non esset in eis plaga. </w:t>
      </w:r>
    </w:p>
    <w:p w14:paraId="6BD6EF0B" w14:textId="1FB2E868" w:rsidR="001D5659" w:rsidRPr="005C2B0C" w:rsidRDefault="001D5659" w:rsidP="00AC188E">
      <w:pPr>
        <w:spacing w:line="480" w:lineRule="auto"/>
        <w:rPr>
          <w:rFonts w:ascii="Times New Roman" w:hAnsi="Times New Roman" w:cs="Times New Roman"/>
          <w:sz w:val="24"/>
          <w:szCs w:val="24"/>
        </w:rPr>
      </w:pPr>
      <w:r w:rsidRPr="005C2B0C">
        <w:rPr>
          <w:rFonts w:ascii="Times New Roman" w:hAnsi="Times New Roman" w:cs="Times New Roman"/>
          <w:sz w:val="24"/>
          <w:szCs w:val="24"/>
        </w:rPr>
        <w:t xml:space="preserve">Item, beatus Augustinus, </w:t>
      </w:r>
      <w:bookmarkStart w:id="2" w:name="_Hlk532730294"/>
      <w:r w:rsidRPr="005C2B0C">
        <w:rPr>
          <w:rFonts w:ascii="Times New Roman" w:hAnsi="Times New Roman" w:cs="Times New Roman"/>
          <w:i/>
          <w:iCs/>
          <w:sz w:val="24"/>
          <w:szCs w:val="24"/>
        </w:rPr>
        <w:t>Sermo</w:t>
      </w:r>
      <w:r w:rsidRPr="005C2B0C">
        <w:rPr>
          <w:rFonts w:ascii="Times New Roman" w:hAnsi="Times New Roman" w:cs="Times New Roman"/>
          <w:sz w:val="24"/>
          <w:szCs w:val="24"/>
        </w:rPr>
        <w:t xml:space="preserve"> 44</w:t>
      </w:r>
      <w:bookmarkEnd w:id="2"/>
      <w:r w:rsidRPr="005C2B0C">
        <w:rPr>
          <w:rFonts w:ascii="Times New Roman" w:hAnsi="Times New Roman" w:cs="Times New Roman"/>
          <w:sz w:val="24"/>
          <w:szCs w:val="24"/>
        </w:rPr>
        <w:t xml:space="preserve">, maior est adiutor noster quam oppugnator. Ideo, cui Deus est adiutor, diabolus non potest esse superator. Ideo, dixit Eccle. 4[:9-12]: </w:t>
      </w:r>
      <w:r w:rsidRPr="005C2B0C">
        <w:rPr>
          <w:rFonts w:ascii="Times New Roman" w:hAnsi="Times New Roman" w:cs="Times New Roman"/>
          <w:i/>
          <w:iCs/>
          <w:sz w:val="24"/>
          <w:szCs w:val="24"/>
        </w:rPr>
        <w:t xml:space="preserve">Melius est duos esse </w:t>
      </w:r>
      <w:r w:rsidRPr="005C2B0C">
        <w:rPr>
          <w:rFonts w:ascii="Times New Roman" w:hAnsi="Times New Roman" w:cs="Times New Roman"/>
          <w:i/>
          <w:iCs/>
          <w:sz w:val="24"/>
          <w:szCs w:val="24"/>
        </w:rPr>
        <w:lastRenderedPageBreak/>
        <w:t>similis quam vnum. Si vnus ceciderit ab altero fulcietur.</w:t>
      </w:r>
      <w:r w:rsidRPr="005C2B0C">
        <w:rPr>
          <w:rFonts w:ascii="Times New Roman" w:hAnsi="Times New Roman" w:cs="Times New Roman"/>
          <w:sz w:val="24"/>
          <w:szCs w:val="24"/>
        </w:rPr>
        <w:t xml:space="preserve"> Et sequitur, </w:t>
      </w:r>
      <w:r w:rsidRPr="005C2B0C">
        <w:rPr>
          <w:rFonts w:ascii="Times New Roman" w:hAnsi="Times New Roman" w:cs="Times New Roman"/>
          <w:i/>
          <w:iCs/>
          <w:sz w:val="24"/>
          <w:szCs w:val="24"/>
        </w:rPr>
        <w:t>Si quispiam prevaluerit contra vnum duo resistant ei.</w:t>
      </w:r>
      <w:r w:rsidRPr="005C2B0C">
        <w:rPr>
          <w:rFonts w:ascii="Times New Roman" w:hAnsi="Times New Roman" w:cs="Times New Roman"/>
          <w:sz w:val="24"/>
          <w:szCs w:val="24"/>
        </w:rPr>
        <w:t xml:space="preserve"> Sepe </w:t>
      </w:r>
      <w:r w:rsidRPr="005C2B0C">
        <w:rPr>
          <w:rFonts w:ascii="Times New Roman" w:hAnsi="Times New Roman" w:cs="Times New Roman"/>
          <w:i/>
          <w:iCs/>
          <w:sz w:val="24"/>
          <w:szCs w:val="24"/>
        </w:rPr>
        <w:t>frater qui adiuuatur a fratre quasi ciuitas firma</w:t>
      </w:r>
      <w:r w:rsidRPr="005C2B0C">
        <w:rPr>
          <w:rFonts w:ascii="Times New Roman" w:hAnsi="Times New Roman" w:cs="Times New Roman"/>
          <w:sz w:val="24"/>
          <w:szCs w:val="24"/>
        </w:rPr>
        <w:t xml:space="preserve">, Prou. 18[:19]. Ciuitas non potest esse firma nisi quelibet pars, quelibet parua, adiuuet aliam in necessitate. Vnde Philosophus, in </w:t>
      </w:r>
      <w:r w:rsidRPr="005C2B0C">
        <w:rPr>
          <w:rFonts w:ascii="Times New Roman" w:hAnsi="Times New Roman" w:cs="Times New Roman"/>
          <w:i/>
          <w:iCs/>
          <w:sz w:val="24"/>
          <w:szCs w:val="24"/>
        </w:rPr>
        <w:t>Politicis</w:t>
      </w:r>
      <w:r w:rsidR="00394E70" w:rsidRPr="005C2B0C">
        <w:rPr>
          <w:rFonts w:ascii="Times New Roman" w:hAnsi="Times New Roman" w:cs="Times New Roman"/>
          <w:iCs/>
          <w:sz w:val="24"/>
          <w:szCs w:val="24"/>
        </w:rPr>
        <w:t>,</w:t>
      </w:r>
      <w:r w:rsidRPr="005C2B0C">
        <w:rPr>
          <w:rFonts w:ascii="Times New Roman" w:hAnsi="Times New Roman" w:cs="Times New Roman"/>
          <w:sz w:val="24"/>
          <w:szCs w:val="24"/>
        </w:rPr>
        <w:t xml:space="preserve"> docet quod in obsidione ciuitatis, mulieres debent esse communes, et concurrere ad adiuuandum talem quale possunt, vtpote portare lapides et alia necessaria viris ad pugnandum. Et hoc est quod dicitur Eccli. 40[:24]: </w:t>
      </w:r>
      <w:r w:rsidRPr="005C2B0C">
        <w:rPr>
          <w:rFonts w:ascii="Times New Roman" w:hAnsi="Times New Roman" w:cs="Times New Roman"/>
          <w:i/>
          <w:iCs/>
          <w:sz w:val="24"/>
          <w:szCs w:val="24"/>
        </w:rPr>
        <w:t>Fratres in adiutorium in tempore tribulacions et super eos misericordia</w:t>
      </w:r>
      <w:r w:rsidRPr="005C2B0C">
        <w:rPr>
          <w:rFonts w:ascii="Times New Roman" w:hAnsi="Times New Roman" w:cs="Times New Roman"/>
          <w:sz w:val="24"/>
          <w:szCs w:val="24"/>
        </w:rPr>
        <w:t xml:space="preserve"> </w:t>
      </w:r>
      <w:r w:rsidRPr="005C2B0C">
        <w:rPr>
          <w:rFonts w:ascii="Times New Roman" w:hAnsi="Times New Roman" w:cs="Times New Roman"/>
          <w:i/>
          <w:iCs/>
          <w:sz w:val="24"/>
          <w:szCs w:val="24"/>
        </w:rPr>
        <w:t>liberabit.</w:t>
      </w:r>
      <w:r w:rsidRPr="005C2B0C">
        <w:rPr>
          <w:rFonts w:ascii="Times New Roman" w:hAnsi="Times New Roman" w:cs="Times New Roman"/>
          <w:sz w:val="24"/>
          <w:szCs w:val="24"/>
        </w:rPr>
        <w:t xml:space="preserve"> Si enim frater non adiuuat fratrem cum indignerit, quomodo poterit ipse sperare adiutorium a Deo.</w:t>
      </w:r>
      <w:bookmarkStart w:id="3" w:name="_GoBack"/>
      <w:bookmarkEnd w:id="3"/>
    </w:p>
    <w:sectPr w:rsidR="001D5659" w:rsidRPr="005C2B0C" w:rsidSect="0027586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7AAB5" w14:textId="77777777" w:rsidR="00E177D4" w:rsidRDefault="00E177D4" w:rsidP="00D120EF">
      <w:pPr>
        <w:spacing w:after="0" w:line="240" w:lineRule="auto"/>
      </w:pPr>
      <w:r>
        <w:separator/>
      </w:r>
    </w:p>
  </w:endnote>
  <w:endnote w:type="continuationSeparator" w:id="0">
    <w:p w14:paraId="619DCA68" w14:textId="77777777" w:rsidR="00E177D4" w:rsidRDefault="00E177D4" w:rsidP="00D120EF">
      <w:pPr>
        <w:spacing w:after="0" w:line="240" w:lineRule="auto"/>
      </w:pPr>
      <w:r>
        <w:continuationSeparator/>
      </w:r>
    </w:p>
  </w:endnote>
  <w:endnote w:id="1">
    <w:p w14:paraId="78901831" w14:textId="77777777" w:rsidR="005C2B0C" w:rsidRPr="005C2B0C" w:rsidRDefault="005C2B0C" w:rsidP="005C2B0C">
      <w:pPr>
        <w:pStyle w:val="EndnoteText"/>
        <w:rPr>
          <w:rFonts w:ascii="Times New Roman" w:hAnsi="Times New Roman" w:cs="Times New Roman"/>
          <w:sz w:val="24"/>
          <w:szCs w:val="24"/>
        </w:rPr>
      </w:pPr>
      <w:r w:rsidRPr="005C2B0C">
        <w:rPr>
          <w:rStyle w:val="EndnoteReference"/>
          <w:rFonts w:ascii="Times New Roman" w:hAnsi="Times New Roman" w:cs="Times New Roman"/>
          <w:sz w:val="24"/>
          <w:szCs w:val="24"/>
        </w:rPr>
        <w:endnoteRef/>
      </w:r>
      <w:r w:rsidRPr="005C2B0C">
        <w:rPr>
          <w:rFonts w:ascii="Times New Roman" w:hAnsi="Times New Roman" w:cs="Times New Roman"/>
          <w:sz w:val="24"/>
          <w:szCs w:val="24"/>
        </w:rPr>
        <w:t xml:space="preserve"> et homo, </w:t>
      </w:r>
      <w:proofErr w:type="gramStart"/>
      <w:r w:rsidRPr="005C2B0C">
        <w:rPr>
          <w:rFonts w:ascii="Times New Roman" w:hAnsi="Times New Roman" w:cs="Times New Roman"/>
          <w:sz w:val="24"/>
          <w:szCs w:val="24"/>
        </w:rPr>
        <w:t>diuine ]</w:t>
      </w:r>
      <w:proofErr w:type="gramEnd"/>
      <w:r w:rsidRPr="005C2B0C">
        <w:rPr>
          <w:rFonts w:ascii="Times New Roman" w:hAnsi="Times New Roman" w:cs="Times New Roman"/>
          <w:sz w:val="24"/>
          <w:szCs w:val="24"/>
        </w:rPr>
        <w:t xml:space="preserve"> Pseudo-Chrysostom </w:t>
      </w:r>
      <w:r w:rsidRPr="005C2B0C">
        <w:rPr>
          <w:rFonts w:ascii="Times New Roman" w:hAnsi="Times New Roman" w:cs="Times New Roman"/>
          <w:i/>
          <w:iCs/>
          <w:sz w:val="24"/>
          <w:szCs w:val="24"/>
        </w:rPr>
        <w:t>om</w:t>
      </w:r>
      <w:r w:rsidRPr="005C2B0C">
        <w:rPr>
          <w:rFonts w:ascii="Times New Roman" w:hAnsi="Times New Roman" w:cs="Times New Roman"/>
          <w:sz w:val="24"/>
          <w:szCs w:val="24"/>
        </w:rPr>
        <w:t>. F.128.</w:t>
      </w:r>
    </w:p>
    <w:p w14:paraId="4AFD07D6" w14:textId="77777777" w:rsidR="005C2B0C" w:rsidRPr="005C2B0C" w:rsidRDefault="005C2B0C" w:rsidP="005C2B0C">
      <w:pPr>
        <w:pStyle w:val="EndnoteText"/>
        <w:rPr>
          <w:rFonts w:ascii="Times New Roman" w:hAnsi="Times New Roman" w:cs="Times New Roman"/>
          <w:sz w:val="24"/>
          <w:szCs w:val="24"/>
        </w:rPr>
      </w:pPr>
    </w:p>
  </w:endnote>
  <w:endnote w:id="2">
    <w:p w14:paraId="70E678B2" w14:textId="1D7B20E6" w:rsidR="005C2B0C" w:rsidRPr="005C2B0C" w:rsidRDefault="005C2B0C">
      <w:pPr>
        <w:pStyle w:val="EndnoteText"/>
        <w:rPr>
          <w:rFonts w:ascii="Times New Roman" w:hAnsi="Times New Roman" w:cs="Times New Roman"/>
          <w:sz w:val="24"/>
          <w:szCs w:val="24"/>
        </w:rPr>
      </w:pPr>
      <w:r w:rsidRPr="005C2B0C">
        <w:rPr>
          <w:rStyle w:val="EndnoteReference"/>
          <w:rFonts w:ascii="Times New Roman" w:hAnsi="Times New Roman" w:cs="Times New Roman"/>
          <w:sz w:val="24"/>
          <w:szCs w:val="24"/>
        </w:rPr>
        <w:endnoteRef/>
      </w:r>
      <w:r w:rsidRPr="005C2B0C">
        <w:rPr>
          <w:rFonts w:ascii="Times New Roman" w:hAnsi="Times New Roman" w:cs="Times New Roman"/>
          <w:sz w:val="24"/>
          <w:szCs w:val="24"/>
        </w:rPr>
        <w:t xml:space="preserve"> </w:t>
      </w:r>
      <w:proofErr w:type="gramStart"/>
      <w:r w:rsidRPr="005C2B0C">
        <w:rPr>
          <w:rFonts w:ascii="Times New Roman" w:hAnsi="Times New Roman" w:cs="Times New Roman"/>
          <w:sz w:val="24"/>
          <w:szCs w:val="24"/>
        </w:rPr>
        <w:t>deficimus</w:t>
      </w:r>
      <w:r w:rsidRPr="005C2B0C">
        <w:rPr>
          <w:rFonts w:ascii="Times New Roman" w:hAnsi="Times New Roman" w:cs="Times New Roman"/>
          <w:sz w:val="24"/>
          <w:szCs w:val="24"/>
        </w:rPr>
        <w:t xml:space="preserve"> ]</w:t>
      </w:r>
      <w:proofErr w:type="gramEnd"/>
      <w:r w:rsidRPr="005C2B0C">
        <w:rPr>
          <w:rFonts w:ascii="Times New Roman" w:hAnsi="Times New Roman" w:cs="Times New Roman"/>
          <w:sz w:val="24"/>
          <w:szCs w:val="24"/>
        </w:rPr>
        <w:t xml:space="preserve"> Bernard </w:t>
      </w:r>
      <w:r w:rsidRPr="005C2B0C">
        <w:rPr>
          <w:rFonts w:ascii="Times New Roman" w:hAnsi="Times New Roman" w:cs="Times New Roman"/>
          <w:i/>
          <w:iCs/>
          <w:sz w:val="24"/>
          <w:szCs w:val="24"/>
        </w:rPr>
        <w:t>corr</w:t>
      </w:r>
      <w:r w:rsidRPr="005C2B0C">
        <w:rPr>
          <w:rFonts w:ascii="Times New Roman" w:hAnsi="Times New Roman" w:cs="Times New Roman"/>
          <w:sz w:val="24"/>
          <w:szCs w:val="24"/>
        </w:rPr>
        <w:t xml:space="preserve">. </w:t>
      </w:r>
      <w:r w:rsidRPr="005C2B0C">
        <w:rPr>
          <w:rFonts w:ascii="Times New Roman" w:hAnsi="Times New Roman" w:cs="Times New Roman"/>
          <w:sz w:val="24"/>
          <w:szCs w:val="24"/>
        </w:rPr>
        <w:t>decipimus</w:t>
      </w:r>
      <w:r w:rsidRPr="005C2B0C">
        <w:rPr>
          <w:rFonts w:ascii="Times New Roman" w:hAnsi="Times New Roman" w:cs="Times New Roman"/>
          <w:sz w:val="24"/>
          <w:szCs w:val="24"/>
        </w:rPr>
        <w:t xml:space="preserve"> F.128.</w:t>
      </w:r>
    </w:p>
    <w:p w14:paraId="17A9C63D" w14:textId="77777777" w:rsidR="005C2B0C" w:rsidRPr="005C2B0C" w:rsidRDefault="005C2B0C">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606B4" w14:textId="77777777" w:rsidR="00E177D4" w:rsidRDefault="00E177D4" w:rsidP="00D120EF">
      <w:pPr>
        <w:spacing w:after="0" w:line="240" w:lineRule="auto"/>
      </w:pPr>
      <w:r>
        <w:separator/>
      </w:r>
    </w:p>
  </w:footnote>
  <w:footnote w:type="continuationSeparator" w:id="0">
    <w:p w14:paraId="5FCD241B" w14:textId="77777777" w:rsidR="00E177D4" w:rsidRDefault="00E177D4" w:rsidP="00D120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4C"/>
    <w:rsid w:val="0000355D"/>
    <w:rsid w:val="0001698C"/>
    <w:rsid w:val="00046B1E"/>
    <w:rsid w:val="00085290"/>
    <w:rsid w:val="000C66F6"/>
    <w:rsid w:val="000F7DD6"/>
    <w:rsid w:val="00131E20"/>
    <w:rsid w:val="001548A8"/>
    <w:rsid w:val="001D5659"/>
    <w:rsid w:val="00212578"/>
    <w:rsid w:val="0027586D"/>
    <w:rsid w:val="0028539D"/>
    <w:rsid w:val="002B08B5"/>
    <w:rsid w:val="002F164C"/>
    <w:rsid w:val="003368AD"/>
    <w:rsid w:val="00341B3C"/>
    <w:rsid w:val="003626A2"/>
    <w:rsid w:val="00394E70"/>
    <w:rsid w:val="00412464"/>
    <w:rsid w:val="004F0210"/>
    <w:rsid w:val="00531652"/>
    <w:rsid w:val="005411DF"/>
    <w:rsid w:val="00583194"/>
    <w:rsid w:val="005C2B0C"/>
    <w:rsid w:val="005C7233"/>
    <w:rsid w:val="005F79FC"/>
    <w:rsid w:val="006B116E"/>
    <w:rsid w:val="006F224A"/>
    <w:rsid w:val="00716C80"/>
    <w:rsid w:val="00767C89"/>
    <w:rsid w:val="00885304"/>
    <w:rsid w:val="00886E8A"/>
    <w:rsid w:val="00941887"/>
    <w:rsid w:val="00995204"/>
    <w:rsid w:val="00A13905"/>
    <w:rsid w:val="00A32FB7"/>
    <w:rsid w:val="00AC188E"/>
    <w:rsid w:val="00BA0227"/>
    <w:rsid w:val="00C41E61"/>
    <w:rsid w:val="00C501DF"/>
    <w:rsid w:val="00C901DF"/>
    <w:rsid w:val="00D120EF"/>
    <w:rsid w:val="00DF5C37"/>
    <w:rsid w:val="00E10C39"/>
    <w:rsid w:val="00E177D4"/>
    <w:rsid w:val="00E25DAD"/>
    <w:rsid w:val="00E34AE4"/>
    <w:rsid w:val="00F10989"/>
    <w:rsid w:val="00F33C09"/>
    <w:rsid w:val="00F37A6F"/>
    <w:rsid w:val="00F456F9"/>
    <w:rsid w:val="00F90A57"/>
    <w:rsid w:val="00FD2C4C"/>
    <w:rsid w:val="00FF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69F3E"/>
  <w15:docId w15:val="{B2E05AC7-F3F6-47D2-A28D-7369350C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586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120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20EF"/>
    <w:rPr>
      <w:sz w:val="20"/>
      <w:szCs w:val="20"/>
    </w:rPr>
  </w:style>
  <w:style w:type="character" w:styleId="EndnoteReference">
    <w:name w:val="endnote reference"/>
    <w:basedOn w:val="DefaultParagraphFont"/>
    <w:uiPriority w:val="99"/>
    <w:semiHidden/>
    <w:rsid w:val="00D120EF"/>
    <w:rPr>
      <w:vertAlign w:val="superscript"/>
    </w:rPr>
  </w:style>
  <w:style w:type="paragraph" w:styleId="BalloonText">
    <w:name w:val="Balloon Text"/>
    <w:basedOn w:val="Normal"/>
    <w:link w:val="BalloonTextChar"/>
    <w:uiPriority w:val="99"/>
    <w:semiHidden/>
    <w:rsid w:val="00412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7005DEB-72F5-45F9-AFFE-02C1DB2A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374</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[7] Adiutorium vel auxilium</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Adiutorium vel auxilium</dc:title>
  <dc:subject/>
  <dc:creator>Eugene Crook</dc:creator>
  <cp:keywords/>
  <dc:description/>
  <cp:lastModifiedBy>Eugene Crook</cp:lastModifiedBy>
  <cp:revision>3</cp:revision>
  <cp:lastPrinted>2018-12-16T20:30:00Z</cp:lastPrinted>
  <dcterms:created xsi:type="dcterms:W3CDTF">2020-06-21T18:58:00Z</dcterms:created>
  <dcterms:modified xsi:type="dcterms:W3CDTF">2020-06-21T19:15:00Z</dcterms:modified>
</cp:coreProperties>
</file>